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32" w:rsidRPr="00692432" w:rsidRDefault="00692432" w:rsidP="00692432">
      <w:pPr>
        <w:spacing w:before="225" w:after="225" w:line="240" w:lineRule="auto"/>
        <w:jc w:val="center"/>
        <w:rPr>
          <w:rFonts w:ascii="Tahoma" w:eastAsia="Times New Roman" w:hAnsi="Tahoma" w:cs="Tahoma"/>
          <w:b/>
          <w:bCs/>
          <w:color w:val="000000"/>
          <w:sz w:val="30"/>
          <w:szCs w:val="30"/>
          <w:lang w:eastAsia="ru-RU"/>
        </w:rPr>
      </w:pPr>
      <w:bookmarkStart w:id="0" w:name="_GoBack"/>
      <w:bookmarkEnd w:id="0"/>
      <w:r w:rsidRPr="00692432">
        <w:rPr>
          <w:rFonts w:ascii="Tahoma" w:eastAsia="Times New Roman" w:hAnsi="Tahoma" w:cs="Tahoma"/>
          <w:b/>
          <w:bCs/>
          <w:color w:val="000000"/>
          <w:sz w:val="30"/>
          <w:szCs w:val="30"/>
          <w:lang w:eastAsia="ru-RU"/>
        </w:rPr>
        <w:t>Извещение о проведении открытого конкурса в электронной форме</w:t>
      </w:r>
    </w:p>
    <w:p w:rsidR="00692432" w:rsidRPr="00692432" w:rsidRDefault="00692432" w:rsidP="00692432">
      <w:pPr>
        <w:spacing w:before="225" w:after="225" w:line="240" w:lineRule="auto"/>
        <w:jc w:val="center"/>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для закупки №</w:t>
      </w:r>
      <w:r>
        <w:rPr>
          <w:rFonts w:ascii="Tahoma" w:eastAsia="Times New Roman" w:hAnsi="Tahoma" w:cs="Tahoma"/>
          <w:color w:val="000000"/>
          <w:sz w:val="18"/>
          <w:szCs w:val="18"/>
          <w:lang w:eastAsia="ru-RU"/>
        </w:rPr>
        <w:t xml:space="preserve"> </w:t>
      </w:r>
      <w:hyperlink r:id="rId4" w:anchor=":~:text=https%3A//zakupki.gov.ru/epz/order/notice/ok20/view/common%2Dinfo.html%3FregNumber%3D0131300046224000025" w:history="1">
        <w:r w:rsidRPr="00BE48B9">
          <w:rPr>
            <w:rStyle w:val="a3"/>
            <w:rFonts w:ascii="Tahoma" w:eastAsia="Times New Roman" w:hAnsi="Tahoma" w:cs="Tahoma"/>
            <w:sz w:val="18"/>
            <w:szCs w:val="18"/>
            <w:lang w:eastAsia="ru-RU"/>
          </w:rPr>
          <w:t>0131300046224000025</w:t>
        </w:r>
      </w:hyperlink>
    </w:p>
    <w:tbl>
      <w:tblPr>
        <w:tblW w:w="9923" w:type="dxa"/>
        <w:tblLayout w:type="fixed"/>
        <w:tblCellMar>
          <w:left w:w="0" w:type="dxa"/>
          <w:right w:w="0" w:type="dxa"/>
        </w:tblCellMar>
        <w:tblLook w:val="04A0" w:firstRow="1" w:lastRow="0" w:firstColumn="1" w:lastColumn="0" w:noHBand="0" w:noVBand="1"/>
      </w:tblPr>
      <w:tblGrid>
        <w:gridCol w:w="4528"/>
        <w:gridCol w:w="5395"/>
      </w:tblGrid>
      <w:tr w:rsidR="00692432" w:rsidRPr="00692432" w:rsidTr="00692432">
        <w:tc>
          <w:tcPr>
            <w:tcW w:w="4528" w:type="dxa"/>
            <w:tcBorders>
              <w:top w:val="nil"/>
              <w:left w:val="nil"/>
              <w:bottom w:val="nil"/>
              <w:right w:val="nil"/>
            </w:tcBorders>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p>
        </w:tc>
        <w:tc>
          <w:tcPr>
            <w:tcW w:w="5395" w:type="dxa"/>
            <w:tcBorders>
              <w:top w:val="nil"/>
              <w:left w:val="nil"/>
              <w:bottom w:val="nil"/>
              <w:right w:val="nil"/>
            </w:tcBorders>
            <w:vAlign w:val="center"/>
            <w:hideMark/>
          </w:tcPr>
          <w:p w:rsidR="00692432" w:rsidRPr="00692432" w:rsidRDefault="00692432" w:rsidP="00692432">
            <w:pPr>
              <w:spacing w:after="0" w:line="240" w:lineRule="auto"/>
              <w:jc w:val="center"/>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Общая информация</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извещения</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0131300046224000025</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Наименование объекта закупки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Строительство объекта: "Стадион в с. Каширское Каширского района Воронежской области"</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Способ определения поставщика (подрядчика, исполнителя)</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 1 ст. 33 Закона № 44-ФЗ</w:t>
            </w: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Конкурс проводится в соответствии с ч. 19 ст. 48 Закона № 44-ФЗ</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АО «Сбербанк-АСТ»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http://www.sberbank-ast.ru</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Размещение осуществляет</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Уполномоченный орган</w:t>
            </w:r>
            <w:r w:rsidRPr="00692432">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Контактная информация</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Организация, осуществляющая размещение</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Почтовый адрес</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Российская Федерация, 396350, Воронежская обл, Каширский р-н, Каширское с, УЛИЦА ОЛИМПИЙСКАЯ, 3</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Место нахождения</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Российская Федерация, 396350, Воронежская обл, Каширский р-н, Каширское с, УЛИЦА ОЛИМПИЙСКАЯ, 3</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Ответственное должностное лицо</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Терехова Елена Николаевна</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Адрес электронной почты</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tereh_of@mail.ru</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lastRenderedPageBreak/>
              <w:t>Номер контактного телефона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7-47342-41142</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Факс</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Информация отсутствует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Дополнительная информация</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Информация отсутствует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Дата и время окончания срока подачи заявок</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02.05.2024 08:00</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03.05.2024</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06.05.2024</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Условия контрактов</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Начальная (максимальная) цена контракта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198</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932</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004.00 Российский рубль</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Идентификационный код закупки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243361300076736130100100090054120414</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Требования заказчиков</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1 АДМИНИСТРАЦИЯ КАШИРСКОГО СЕЛЬСКОГО ПОСЕЛЕНИЯ КАШИРСКОГО МУНИЦИПАЛЬНОГО РАЙОНА ВОРОНЕЖСКОЙ ОБЛАСТИ</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Начальная (максимальная) цена контракта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198</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932</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004.00 Российский рубль</w:t>
            </w: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Дата начала исполнения контракта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с даты заключения контракта</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Дата окончания исполнения контракта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25.12.2024</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Закупка за счет бюджетных средств</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Да</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Наименование бюджета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Бюджет Каширского сельского поселения Каширского муниципального района</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Вид бюджета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Местный бюджет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Код территории муниципального образования</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20620414: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Каширское</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lastRenderedPageBreak/>
              <w:t>Закупка за счет собственных средств организации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Нет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574"/>
              <w:gridCol w:w="2154"/>
              <w:gridCol w:w="2154"/>
              <w:gridCol w:w="2154"/>
              <w:gridCol w:w="3274"/>
            </w:tblGrid>
            <w:tr w:rsidR="00692432" w:rsidRPr="00692432" w:rsidTr="00692432">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Всего:</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Оплата за 2024 год</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Оплата за 2025 год</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Оплата за 2026 год</w:t>
                  </w:r>
                </w:p>
              </w:tc>
              <w:tc>
                <w:tcPr>
                  <w:tcW w:w="3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Сумма на последующие годы</w:t>
                  </w:r>
                </w:p>
              </w:tc>
            </w:tr>
            <w:tr w:rsidR="00692432" w:rsidRPr="00692432" w:rsidTr="00692432">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198932004.00</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198932004.00</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3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r>
          </w:tbl>
          <w:p w:rsidR="00692432" w:rsidRPr="00692432" w:rsidRDefault="00692432" w:rsidP="00692432">
            <w:pPr>
              <w:spacing w:after="0" w:line="240" w:lineRule="auto"/>
              <w:rPr>
                <w:rFonts w:ascii="Tahoma" w:eastAsia="Times New Roman" w:hAnsi="Tahoma" w:cs="Tahoma"/>
                <w:color w:val="000000"/>
                <w:sz w:val="16"/>
                <w:szCs w:val="16"/>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6"/>
                <w:szCs w:val="16"/>
                <w:lang w:eastAsia="ru-RU"/>
              </w:rPr>
            </w:pPr>
            <w:r w:rsidRPr="00692432">
              <w:rPr>
                <w:rFonts w:ascii="Tahoma" w:eastAsia="Times New Roman" w:hAnsi="Tahoma" w:cs="Tahoma"/>
                <w:b/>
                <w:bCs/>
                <w:color w:val="000000"/>
                <w:sz w:val="16"/>
                <w:szCs w:val="16"/>
                <w:bdr w:val="none" w:sz="0" w:space="0" w:color="auto" w:frame="1"/>
                <w:lang w:eastAsia="ru-RU"/>
              </w:rPr>
              <w:t>Этапы исполнения контракта</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6"/>
                <w:szCs w:val="16"/>
                <w:lang w:eastAsia="ru-RU"/>
              </w:rPr>
            </w:pPr>
            <w:r w:rsidRPr="00692432">
              <w:rPr>
                <w:rFonts w:ascii="Tahoma" w:eastAsia="Times New Roman" w:hAnsi="Tahoma" w:cs="Tahoma"/>
                <w:color w:val="000000"/>
                <w:sz w:val="16"/>
                <w:szCs w:val="16"/>
                <w:lang w:eastAsia="ru-RU"/>
              </w:rPr>
              <w:t>Контракт не разделен на этапы исполнения контракта</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6"/>
                <w:szCs w:val="16"/>
                <w:lang w:eastAsia="ru-RU"/>
              </w:rPr>
            </w:pPr>
            <w:r w:rsidRPr="00692432">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4"/>
              <w:gridCol w:w="1898"/>
              <w:gridCol w:w="1686"/>
              <w:gridCol w:w="1686"/>
              <w:gridCol w:w="1686"/>
            </w:tblGrid>
            <w:tr w:rsidR="00692432" w:rsidRPr="00692432" w:rsidTr="00692432">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r w:rsidRPr="00692432">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r w:rsidRPr="00692432">
                    <w:rPr>
                      <w:rFonts w:ascii="Times New Roman" w:eastAsia="Times New Roman" w:hAnsi="Times New Roman" w:cs="Times New Roman"/>
                      <w:b/>
                      <w:bCs/>
                      <w:sz w:val="16"/>
                      <w:szCs w:val="16"/>
                      <w:lang w:eastAsia="ru-RU"/>
                    </w:rPr>
                    <w:t>Сумма контракта (в валюте контракта)</w:t>
                  </w:r>
                </w:p>
              </w:tc>
            </w:tr>
            <w:tr w:rsidR="00692432" w:rsidRPr="00692432" w:rsidTr="00692432">
              <w:tc>
                <w:tcPr>
                  <w:tcW w:w="4354" w:type="dxa"/>
                  <w:vMerge/>
                  <w:tcBorders>
                    <w:top w:val="single" w:sz="6" w:space="0" w:color="000000"/>
                    <w:left w:val="single" w:sz="6" w:space="0" w:color="000000"/>
                    <w:bottom w:val="single" w:sz="6" w:space="0" w:color="000000"/>
                    <w:right w:val="single" w:sz="6" w:space="0" w:color="000000"/>
                  </w:tcBorders>
                  <w:vAlign w:val="center"/>
                  <w:hideMark/>
                </w:tcPr>
                <w:p w:rsidR="00692432" w:rsidRPr="00692432" w:rsidRDefault="00692432" w:rsidP="00692432">
                  <w:pPr>
                    <w:spacing w:after="0" w:line="240" w:lineRule="auto"/>
                    <w:rPr>
                      <w:rFonts w:ascii="Times New Roman" w:eastAsia="Times New Roman" w:hAnsi="Times New Roman" w:cs="Times New Roman"/>
                      <w:b/>
                      <w:bCs/>
                      <w:sz w:val="16"/>
                      <w:szCs w:val="16"/>
                      <w:lang w:eastAsia="ru-RU"/>
                    </w:rPr>
                  </w:pPr>
                </w:p>
              </w:tc>
              <w:tc>
                <w:tcPr>
                  <w:tcW w:w="1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r w:rsidRPr="00692432">
                    <w:rPr>
                      <w:rFonts w:ascii="Times New Roman" w:eastAsia="Times New Roman" w:hAnsi="Times New Roman" w:cs="Times New Roman"/>
                      <w:b/>
                      <w:bCs/>
                      <w:sz w:val="16"/>
                      <w:szCs w:val="16"/>
                      <w:lang w:eastAsia="ru-RU"/>
                    </w:rPr>
                    <w:t>на 2024 год</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r w:rsidRPr="00692432">
                    <w:rPr>
                      <w:rFonts w:ascii="Times New Roman" w:eastAsia="Times New Roman" w:hAnsi="Times New Roman" w:cs="Times New Roman"/>
                      <w:b/>
                      <w:bCs/>
                      <w:sz w:val="16"/>
                      <w:szCs w:val="16"/>
                      <w:lang w:eastAsia="ru-RU"/>
                    </w:rPr>
                    <w:t>на 2025 год</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r w:rsidRPr="00692432">
                    <w:rPr>
                      <w:rFonts w:ascii="Times New Roman" w:eastAsia="Times New Roman" w:hAnsi="Times New Roman" w:cs="Times New Roman"/>
                      <w:b/>
                      <w:bCs/>
                      <w:sz w:val="16"/>
                      <w:szCs w:val="16"/>
                      <w:lang w:eastAsia="ru-RU"/>
                    </w:rPr>
                    <w:t>на 2026 год</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r w:rsidRPr="00692432">
                    <w:rPr>
                      <w:rFonts w:ascii="Times New Roman" w:eastAsia="Times New Roman" w:hAnsi="Times New Roman" w:cs="Times New Roman"/>
                      <w:b/>
                      <w:bCs/>
                      <w:sz w:val="16"/>
                      <w:szCs w:val="16"/>
                      <w:lang w:eastAsia="ru-RU"/>
                    </w:rPr>
                    <w:t>на 2027 год</w:t>
                  </w:r>
                </w:p>
              </w:tc>
            </w:tr>
            <w:tr w:rsidR="00692432" w:rsidRPr="00692432" w:rsidTr="00692432">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914110507102L5760414</w:t>
                  </w:r>
                </w:p>
              </w:tc>
              <w:tc>
                <w:tcPr>
                  <w:tcW w:w="1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168932004.00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r>
            <w:tr w:rsidR="00692432" w:rsidRPr="00692432" w:rsidTr="00692432">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914110507102A5760414</w:t>
                  </w:r>
                </w:p>
              </w:tc>
              <w:tc>
                <w:tcPr>
                  <w:tcW w:w="1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30000000.00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r>
            <w:tr w:rsidR="00692432" w:rsidRPr="00692432" w:rsidTr="00692432">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right"/>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Итого</w:t>
                  </w:r>
                </w:p>
              </w:tc>
              <w:tc>
                <w:tcPr>
                  <w:tcW w:w="1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198932004.00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c>
                <w:tcPr>
                  <w:tcW w:w="1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0.00</w:t>
                  </w:r>
                </w:p>
              </w:tc>
            </w:tr>
          </w:tbl>
          <w:p w:rsidR="00692432" w:rsidRPr="00692432" w:rsidRDefault="00692432" w:rsidP="00692432">
            <w:pPr>
              <w:spacing w:after="0" w:line="240" w:lineRule="auto"/>
              <w:rPr>
                <w:rFonts w:ascii="Tahoma" w:eastAsia="Times New Roman" w:hAnsi="Tahoma" w:cs="Tahoma"/>
                <w:color w:val="000000"/>
                <w:sz w:val="16"/>
                <w:szCs w:val="16"/>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Российская Федерация, Воронежская обл, Каширский р-н, Каширское с, ул. Спортивная</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Нет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Обеспечение заявки</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Требуется обеспечение заявки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Размер обеспечения заявки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989</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320.04 Российский рубль</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w:t>
            </w:r>
            <w:r w:rsidRPr="00692432">
              <w:rPr>
                <w:rFonts w:ascii="Tahoma" w:eastAsia="Times New Roman" w:hAnsi="Tahoma" w:cs="Tahoma"/>
                <w:color w:val="000000"/>
                <w:sz w:val="18"/>
                <w:szCs w:val="18"/>
                <w:lang w:eastAsia="ru-RU"/>
              </w:rPr>
              <w:lastRenderedPageBreak/>
              <w:t>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расчётного счёта"03232643206200003100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лицевого счёта"05313025610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"Код поступления" Информация отсутствует</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"БИК"012007084</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"Наименование кредитной </w:t>
            </w:r>
            <w:proofErr w:type="spellStart"/>
            <w:r w:rsidRPr="00692432">
              <w:rPr>
                <w:rFonts w:ascii="Tahoma" w:eastAsia="Times New Roman" w:hAnsi="Tahoma" w:cs="Tahoma"/>
                <w:color w:val="000000"/>
                <w:sz w:val="18"/>
                <w:szCs w:val="18"/>
                <w:lang w:eastAsia="ru-RU"/>
              </w:rPr>
              <w:t>организации"Отделение</w:t>
            </w:r>
            <w:proofErr w:type="spellEnd"/>
            <w:r w:rsidRPr="00692432">
              <w:rPr>
                <w:rFonts w:ascii="Tahoma" w:eastAsia="Times New Roman" w:hAnsi="Tahoma" w:cs="Tahoma"/>
                <w:color w:val="000000"/>
                <w:sz w:val="18"/>
                <w:szCs w:val="18"/>
                <w:lang w:eastAsia="ru-RU"/>
              </w:rPr>
              <w:t xml:space="preserve"> Воронеж Банка России //УФК по Воронежской области </w:t>
            </w:r>
            <w:proofErr w:type="spellStart"/>
            <w:r w:rsidRPr="00692432">
              <w:rPr>
                <w:rFonts w:ascii="Tahoma" w:eastAsia="Times New Roman" w:hAnsi="Tahoma" w:cs="Tahoma"/>
                <w:color w:val="000000"/>
                <w:sz w:val="18"/>
                <w:szCs w:val="18"/>
                <w:lang w:eastAsia="ru-RU"/>
              </w:rPr>
              <w:t>г.Воронеж</w:t>
            </w:r>
            <w:proofErr w:type="spellEnd"/>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корреспондентского счета"40102810945370000023</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Требуется обеспечение исполнения контракта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Размер обеспечения исполнения контракта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19</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893</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200.40 Российский рубль</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w:t>
            </w:r>
            <w:r w:rsidRPr="00692432">
              <w:rPr>
                <w:rFonts w:ascii="Tahoma" w:eastAsia="Times New Roman" w:hAnsi="Tahoma" w:cs="Tahoma"/>
                <w:color w:val="000000"/>
                <w:sz w:val="18"/>
                <w:szCs w:val="18"/>
                <w:lang w:eastAsia="ru-RU"/>
              </w:rPr>
              <w:lastRenderedPageBreak/>
              <w:t>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lastRenderedPageBreak/>
              <w:t>Платежные реквизиты</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расчётного счёта"03232643206200003100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лицевого счёта"05313025610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"Код поступления" Информация отсутствует</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"БИК"012007084</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"Наименование кредитной </w:t>
            </w:r>
            <w:proofErr w:type="spellStart"/>
            <w:r w:rsidRPr="00692432">
              <w:rPr>
                <w:rFonts w:ascii="Tahoma" w:eastAsia="Times New Roman" w:hAnsi="Tahoma" w:cs="Tahoma"/>
                <w:color w:val="000000"/>
                <w:sz w:val="18"/>
                <w:szCs w:val="18"/>
                <w:lang w:eastAsia="ru-RU"/>
              </w:rPr>
              <w:t>организации"Отделение</w:t>
            </w:r>
            <w:proofErr w:type="spellEnd"/>
            <w:r w:rsidRPr="00692432">
              <w:rPr>
                <w:rFonts w:ascii="Tahoma" w:eastAsia="Times New Roman" w:hAnsi="Tahoma" w:cs="Tahoma"/>
                <w:color w:val="000000"/>
                <w:sz w:val="18"/>
                <w:szCs w:val="18"/>
                <w:lang w:eastAsia="ru-RU"/>
              </w:rPr>
              <w:t xml:space="preserve"> Воронеж Банка России //УФК по Воронежской области </w:t>
            </w:r>
            <w:proofErr w:type="spellStart"/>
            <w:r w:rsidRPr="00692432">
              <w:rPr>
                <w:rFonts w:ascii="Tahoma" w:eastAsia="Times New Roman" w:hAnsi="Tahoma" w:cs="Tahoma"/>
                <w:color w:val="000000"/>
                <w:sz w:val="18"/>
                <w:szCs w:val="18"/>
                <w:lang w:eastAsia="ru-RU"/>
              </w:rPr>
              <w:t>г.Воронеж</w:t>
            </w:r>
            <w:proofErr w:type="spellEnd"/>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корреспондентского счета"40102810945370000023</w:t>
            </w: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Требования к гарантии качества товара, работы, услуги</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Требуется гарантия качества товара, работы, услуги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Да</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Информация о требованиях к гарантийному обслуживанию товара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Требования к гарантии производителя товара</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Гарантийный срок на объект устанавливается сроком на 5 (Пять) лет.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Требуется обеспечение гарантийных обязательств</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lastRenderedPageBreak/>
              <w:t>Размер обеспечения гарантийных обязательств</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989</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320.04 Российский рубль</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Порядок предоставления обеспечения гарантийных обязательств, требования к обеспечению</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Обеспечение гарантийных обязательств предоставляется в виде независимой гарантии, соответствующей требованиям ст. 45 Федерального закона от 05.04.2013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Обеспечение гарантийных обязательств необходимо предоставить до оформления итогового документа о приемке работ.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Платежные реквизиты</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расчетного счета"03232643206200003100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лицевого счета"05313025610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"Код поступления" Информация отсутствует</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"БИК"012007084</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"Наименование кредитной </w:t>
            </w:r>
            <w:proofErr w:type="spellStart"/>
            <w:r w:rsidRPr="00692432">
              <w:rPr>
                <w:rFonts w:ascii="Tahoma" w:eastAsia="Times New Roman" w:hAnsi="Tahoma" w:cs="Tahoma"/>
                <w:color w:val="000000"/>
                <w:sz w:val="18"/>
                <w:szCs w:val="18"/>
                <w:lang w:eastAsia="ru-RU"/>
              </w:rPr>
              <w:t>организации"Отделение</w:t>
            </w:r>
            <w:proofErr w:type="spellEnd"/>
            <w:r w:rsidRPr="00692432">
              <w:rPr>
                <w:rFonts w:ascii="Tahoma" w:eastAsia="Times New Roman" w:hAnsi="Tahoma" w:cs="Tahoma"/>
                <w:color w:val="000000"/>
                <w:sz w:val="18"/>
                <w:szCs w:val="18"/>
                <w:lang w:eastAsia="ru-RU"/>
              </w:rPr>
              <w:t xml:space="preserve"> Воронеж Банка России //УФК по Воронежской области </w:t>
            </w:r>
            <w:proofErr w:type="spellStart"/>
            <w:r w:rsidRPr="00692432">
              <w:rPr>
                <w:rFonts w:ascii="Tahoma" w:eastAsia="Times New Roman" w:hAnsi="Tahoma" w:cs="Tahoma"/>
                <w:color w:val="000000"/>
                <w:sz w:val="18"/>
                <w:szCs w:val="18"/>
                <w:lang w:eastAsia="ru-RU"/>
              </w:rPr>
              <w:t>г.Воронеж</w:t>
            </w:r>
            <w:proofErr w:type="spellEnd"/>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"Номер корреспондентского счета"40102810945370000023</w:t>
            </w: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Все расчеты по контракту подлежат казначейскому сопровождению</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Дополнительная информация</w:t>
            </w:r>
          </w:p>
        </w:tc>
        <w:tc>
          <w:tcPr>
            <w:tcW w:w="5395"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Информация отсутствует</w:t>
            </w:r>
          </w:p>
        </w:tc>
      </w:tr>
      <w:tr w:rsidR="00692432" w:rsidRPr="00692432" w:rsidTr="00692432">
        <w:tc>
          <w:tcPr>
            <w:tcW w:w="4528" w:type="dxa"/>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Объект закупки</w:t>
            </w:r>
          </w:p>
        </w:tc>
        <w:tc>
          <w:tcPr>
            <w:tcW w:w="5395" w:type="dxa"/>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r>
      <w:tr w:rsidR="00692432" w:rsidRPr="00692432" w:rsidTr="00692432">
        <w:tc>
          <w:tcPr>
            <w:tcW w:w="9923" w:type="dxa"/>
            <w:gridSpan w:val="2"/>
            <w:tcBorders>
              <w:top w:val="nil"/>
              <w:left w:val="nil"/>
              <w:bottom w:val="nil"/>
              <w:right w:val="nil"/>
            </w:tcBorders>
            <w:tcMar>
              <w:top w:w="0" w:type="dxa"/>
              <w:left w:w="225" w:type="dxa"/>
              <w:bottom w:w="0" w:type="dxa"/>
              <w:right w:w="150" w:type="dxa"/>
            </w:tcMar>
            <w:vAlign w:val="center"/>
            <w:hideMark/>
          </w:tcPr>
          <w:p w:rsidR="00692432" w:rsidRPr="00692432" w:rsidRDefault="00692432" w:rsidP="00692432">
            <w:pPr>
              <w:spacing w:before="225" w:after="225" w:line="240" w:lineRule="auto"/>
              <w:jc w:val="right"/>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Российский рубль</w:t>
            </w:r>
          </w:p>
        </w:tc>
      </w:tr>
    </w:tbl>
    <w:p w:rsidR="00692432" w:rsidRPr="00692432" w:rsidRDefault="00692432" w:rsidP="00692432">
      <w:pPr>
        <w:spacing w:after="0" w:line="240" w:lineRule="auto"/>
        <w:rPr>
          <w:rFonts w:ascii="Times New Roman" w:eastAsia="Times New Roman" w:hAnsi="Times New Roman" w:cs="Times New Roman"/>
          <w:vanish/>
          <w:sz w:val="24"/>
          <w:szCs w:val="24"/>
          <w:lang w:eastAsia="ru-RU"/>
        </w:rPr>
      </w:pPr>
    </w:p>
    <w:tbl>
      <w:tblPr>
        <w:tblW w:w="9806" w:type="dxa"/>
        <w:tblCellMar>
          <w:left w:w="0" w:type="dxa"/>
          <w:right w:w="0" w:type="dxa"/>
        </w:tblCellMar>
        <w:tblLook w:val="04A0" w:firstRow="1" w:lastRow="0" w:firstColumn="1" w:lastColumn="0" w:noHBand="0" w:noVBand="1"/>
      </w:tblPr>
      <w:tblGrid>
        <w:gridCol w:w="7052"/>
        <w:gridCol w:w="2754"/>
      </w:tblGrid>
      <w:tr w:rsidR="00692432" w:rsidRPr="00692432" w:rsidTr="00692432">
        <w:trPr>
          <w:trHeight w:val="12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Тип 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Работа</w:t>
            </w:r>
          </w:p>
        </w:tc>
      </w:tr>
    </w:tbl>
    <w:p w:rsidR="00692432" w:rsidRPr="00692432" w:rsidRDefault="00692432" w:rsidP="00692432">
      <w:pPr>
        <w:spacing w:after="0" w:line="240" w:lineRule="auto"/>
        <w:rPr>
          <w:rFonts w:ascii="Times New Roman" w:eastAsia="Times New Roman" w:hAnsi="Times New Roman" w:cs="Times New Roman"/>
          <w:vanish/>
          <w:sz w:val="24"/>
          <w:szCs w:val="24"/>
          <w:lang w:eastAsia="ru-RU"/>
        </w:rPr>
      </w:pPr>
    </w:p>
    <w:tbl>
      <w:tblPr>
        <w:tblW w:w="9825" w:type="dxa"/>
        <w:tblLayout w:type="fixed"/>
        <w:tblCellMar>
          <w:left w:w="0" w:type="dxa"/>
          <w:right w:w="0" w:type="dxa"/>
        </w:tblCellMar>
        <w:tblLook w:val="04A0" w:firstRow="1" w:lastRow="0" w:firstColumn="1" w:lastColumn="0" w:noHBand="0" w:noVBand="1"/>
      </w:tblPr>
      <w:tblGrid>
        <w:gridCol w:w="982"/>
        <w:gridCol w:w="768"/>
        <w:gridCol w:w="727"/>
        <w:gridCol w:w="677"/>
        <w:gridCol w:w="678"/>
        <w:gridCol w:w="1354"/>
        <w:gridCol w:w="2177"/>
        <w:gridCol w:w="1418"/>
        <w:gridCol w:w="1044"/>
      </w:tblGrid>
      <w:tr w:rsidR="00692432" w:rsidRPr="00692432" w:rsidTr="00692432">
        <w:trPr>
          <w:trHeight w:val="323"/>
        </w:trPr>
        <w:tc>
          <w:tcPr>
            <w:tcW w:w="9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Наименование товара, работы, услуги</w:t>
            </w:r>
          </w:p>
        </w:tc>
        <w:tc>
          <w:tcPr>
            <w:tcW w:w="7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Код позиции</w:t>
            </w:r>
          </w:p>
        </w:tc>
        <w:tc>
          <w:tcPr>
            <w:tcW w:w="20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Характеристики товара, работы, услуги</w:t>
            </w:r>
          </w:p>
        </w:tc>
        <w:tc>
          <w:tcPr>
            <w:tcW w:w="1354"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502" w:type="dxa"/>
              <w:jc w:val="center"/>
              <w:tblLayout w:type="fixed"/>
              <w:tblCellMar>
                <w:left w:w="0" w:type="dxa"/>
                <w:right w:w="0" w:type="dxa"/>
              </w:tblCellMar>
              <w:tblLook w:val="04A0" w:firstRow="1" w:lastRow="0" w:firstColumn="1" w:lastColumn="0" w:noHBand="0" w:noVBand="1"/>
            </w:tblPr>
            <w:tblGrid>
              <w:gridCol w:w="1194"/>
              <w:gridCol w:w="1308"/>
            </w:tblGrid>
            <w:tr w:rsidR="00692432" w:rsidRPr="00692432" w:rsidTr="00692432">
              <w:trPr>
                <w:trHeight w:val="278"/>
                <w:jc w:val="center"/>
              </w:trPr>
              <w:tc>
                <w:tcPr>
                  <w:tcW w:w="1194" w:type="dxa"/>
                  <w:tcBorders>
                    <w:top w:val="nil"/>
                    <w:left w:val="nil"/>
                    <w:bottom w:val="nil"/>
                    <w:right w:val="single" w:sz="6" w:space="0" w:color="auto"/>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r w:rsidRPr="00692432">
                    <w:rPr>
                      <w:rFonts w:ascii="Times New Roman" w:eastAsia="Times New Roman" w:hAnsi="Times New Roman" w:cs="Times New Roman"/>
                      <w:b/>
                      <w:bCs/>
                      <w:sz w:val="16"/>
                      <w:szCs w:val="16"/>
                      <w:lang w:eastAsia="ru-RU"/>
                    </w:rPr>
                    <w:t>Заказчик</w:t>
                  </w:r>
                </w:p>
              </w:tc>
              <w:tc>
                <w:tcPr>
                  <w:tcW w:w="1308" w:type="dxa"/>
                  <w:tcBorders>
                    <w:top w:val="nil"/>
                    <w:left w:val="nil"/>
                    <w:bottom w:val="nil"/>
                    <w:right w:val="nil"/>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imes New Roman" w:eastAsia="Times New Roman" w:hAnsi="Times New Roman" w:cs="Times New Roman"/>
                      <w:b/>
                      <w:bCs/>
                      <w:sz w:val="16"/>
                      <w:szCs w:val="16"/>
                      <w:lang w:eastAsia="ru-RU"/>
                    </w:rPr>
                  </w:pPr>
                  <w:proofErr w:type="gramStart"/>
                  <w:r w:rsidRPr="00692432">
                    <w:rPr>
                      <w:rFonts w:ascii="Times New Roman" w:eastAsia="Times New Roman" w:hAnsi="Times New Roman" w:cs="Times New Roman"/>
                      <w:b/>
                      <w:bCs/>
                      <w:sz w:val="16"/>
                      <w:szCs w:val="16"/>
                      <w:lang w:eastAsia="ru-RU"/>
                    </w:rPr>
                    <w:t>Количество(</w:t>
                  </w:r>
                  <w:proofErr w:type="gramEnd"/>
                  <w:r w:rsidRPr="00692432">
                    <w:rPr>
                      <w:rFonts w:ascii="Times New Roman" w:eastAsia="Times New Roman" w:hAnsi="Times New Roman" w:cs="Times New Roman"/>
                      <w:b/>
                      <w:bCs/>
                      <w:sz w:val="16"/>
                      <w:szCs w:val="16"/>
                      <w:lang w:eastAsia="ru-RU"/>
                    </w:rPr>
                    <w:t>объем работы, услуги)</w:t>
                  </w:r>
                </w:p>
              </w:tc>
            </w:tr>
          </w:tbl>
          <w:p w:rsidR="00692432" w:rsidRPr="00692432" w:rsidRDefault="00692432" w:rsidP="00692432">
            <w:pPr>
              <w:spacing w:after="0" w:line="240" w:lineRule="auto"/>
              <w:jc w:val="center"/>
              <w:rPr>
                <w:rFonts w:ascii="Tahoma" w:eastAsia="Times New Roman" w:hAnsi="Tahoma" w:cs="Tahoma"/>
                <w:b/>
                <w:bCs/>
                <w:color w:val="000000"/>
                <w:sz w:val="16"/>
                <w:szCs w:val="16"/>
                <w:lang w:eastAsia="ru-RU"/>
              </w:rPr>
            </w:pPr>
          </w:p>
        </w:tc>
        <w:tc>
          <w:tcPr>
            <w:tcW w:w="21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Единица измерения</w:t>
            </w:r>
          </w:p>
        </w:tc>
        <w:tc>
          <w:tcPr>
            <w:tcW w:w="14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Цена за единицу</w:t>
            </w:r>
          </w:p>
        </w:tc>
        <w:tc>
          <w:tcPr>
            <w:tcW w:w="10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Стоимость позиции</w:t>
            </w:r>
          </w:p>
        </w:tc>
      </w:tr>
      <w:tr w:rsidR="00692432" w:rsidRPr="00692432" w:rsidTr="00692432">
        <w:trPr>
          <w:trHeight w:val="718"/>
        </w:trPr>
        <w:tc>
          <w:tcPr>
            <w:tcW w:w="982" w:type="dxa"/>
            <w:vMerge/>
            <w:tcBorders>
              <w:top w:val="single" w:sz="6" w:space="0" w:color="000000"/>
              <w:left w:val="single" w:sz="6" w:space="0" w:color="000000"/>
              <w:bottom w:val="single" w:sz="6" w:space="0" w:color="000000"/>
              <w:right w:val="single" w:sz="6" w:space="0" w:color="000000"/>
            </w:tcBorders>
            <w:vAlign w:val="center"/>
            <w:hideMark/>
          </w:tcPr>
          <w:p w:rsidR="00692432" w:rsidRPr="00692432" w:rsidRDefault="00692432" w:rsidP="00692432">
            <w:pPr>
              <w:spacing w:after="0" w:line="240" w:lineRule="auto"/>
              <w:rPr>
                <w:rFonts w:ascii="Tahoma" w:eastAsia="Times New Roman" w:hAnsi="Tahoma" w:cs="Tahoma"/>
                <w:b/>
                <w:bCs/>
                <w:color w:val="000000"/>
                <w:sz w:val="14"/>
                <w:szCs w:val="14"/>
                <w:lang w:eastAsia="ru-RU"/>
              </w:rPr>
            </w:pPr>
          </w:p>
        </w:tc>
        <w:tc>
          <w:tcPr>
            <w:tcW w:w="768" w:type="dxa"/>
            <w:vMerge/>
            <w:tcBorders>
              <w:top w:val="single" w:sz="6" w:space="0" w:color="000000"/>
              <w:left w:val="single" w:sz="6" w:space="0" w:color="000000"/>
              <w:bottom w:val="single" w:sz="6" w:space="0" w:color="000000"/>
              <w:right w:val="single" w:sz="6" w:space="0" w:color="000000"/>
            </w:tcBorders>
            <w:vAlign w:val="center"/>
            <w:hideMark/>
          </w:tcPr>
          <w:p w:rsidR="00692432" w:rsidRPr="00692432" w:rsidRDefault="00692432" w:rsidP="00692432">
            <w:pPr>
              <w:spacing w:after="0" w:line="240" w:lineRule="auto"/>
              <w:rPr>
                <w:rFonts w:ascii="Tahoma" w:eastAsia="Times New Roman" w:hAnsi="Tahoma" w:cs="Tahoma"/>
                <w:b/>
                <w:bCs/>
                <w:color w:val="000000"/>
                <w:sz w:val="14"/>
                <w:szCs w:val="14"/>
                <w:lang w:eastAsia="ru-RU"/>
              </w:rPr>
            </w:pPr>
          </w:p>
        </w:tc>
        <w:tc>
          <w:tcPr>
            <w:tcW w:w="7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Наименование характеристики</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Значение характеристики</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b/>
                <w:bCs/>
                <w:color w:val="000000"/>
                <w:sz w:val="14"/>
                <w:szCs w:val="14"/>
                <w:lang w:eastAsia="ru-RU"/>
              </w:rPr>
            </w:pPr>
            <w:r w:rsidRPr="00692432">
              <w:rPr>
                <w:rFonts w:ascii="Tahoma" w:eastAsia="Times New Roman" w:hAnsi="Tahoma" w:cs="Tahoma"/>
                <w:b/>
                <w:bCs/>
                <w:color w:val="000000"/>
                <w:sz w:val="14"/>
                <w:szCs w:val="14"/>
                <w:lang w:eastAsia="ru-RU"/>
              </w:rPr>
              <w:t>Единица измерения характеристики</w:t>
            </w:r>
          </w:p>
        </w:tc>
        <w:tc>
          <w:tcPr>
            <w:tcW w:w="1354" w:type="dxa"/>
            <w:vMerge/>
            <w:tcBorders>
              <w:top w:val="single" w:sz="6" w:space="0" w:color="000000"/>
              <w:left w:val="single" w:sz="6" w:space="0" w:color="000000"/>
              <w:bottom w:val="single" w:sz="6" w:space="0" w:color="000000"/>
              <w:right w:val="single" w:sz="6" w:space="0" w:color="000000"/>
            </w:tcBorders>
            <w:vAlign w:val="center"/>
            <w:hideMark/>
          </w:tcPr>
          <w:p w:rsidR="00692432" w:rsidRPr="00692432" w:rsidRDefault="00692432" w:rsidP="00692432">
            <w:pPr>
              <w:spacing w:after="0" w:line="240" w:lineRule="auto"/>
              <w:rPr>
                <w:rFonts w:ascii="Tahoma" w:eastAsia="Times New Roman" w:hAnsi="Tahoma" w:cs="Tahoma"/>
                <w:b/>
                <w:bCs/>
                <w:color w:val="000000"/>
                <w:sz w:val="16"/>
                <w:szCs w:val="16"/>
                <w:lang w:eastAsia="ru-RU"/>
              </w:rPr>
            </w:pPr>
          </w:p>
        </w:tc>
        <w:tc>
          <w:tcPr>
            <w:tcW w:w="2177" w:type="dxa"/>
            <w:vMerge/>
            <w:tcBorders>
              <w:top w:val="single" w:sz="6" w:space="0" w:color="000000"/>
              <w:left w:val="single" w:sz="6" w:space="0" w:color="000000"/>
              <w:bottom w:val="single" w:sz="6" w:space="0" w:color="000000"/>
              <w:right w:val="single" w:sz="6" w:space="0" w:color="000000"/>
            </w:tcBorders>
            <w:vAlign w:val="center"/>
            <w:hideMark/>
          </w:tcPr>
          <w:p w:rsidR="00692432" w:rsidRPr="00692432" w:rsidRDefault="00692432" w:rsidP="00692432">
            <w:pPr>
              <w:spacing w:after="0" w:line="240" w:lineRule="auto"/>
              <w:rPr>
                <w:rFonts w:ascii="Tahoma" w:eastAsia="Times New Roman" w:hAnsi="Tahoma" w:cs="Tahoma"/>
                <w:b/>
                <w:bCs/>
                <w:color w:val="000000"/>
                <w:sz w:val="14"/>
                <w:szCs w:val="1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692432" w:rsidRPr="00692432" w:rsidRDefault="00692432" w:rsidP="00692432">
            <w:pPr>
              <w:spacing w:after="0" w:line="240" w:lineRule="auto"/>
              <w:rPr>
                <w:rFonts w:ascii="Tahoma" w:eastAsia="Times New Roman" w:hAnsi="Tahoma" w:cs="Tahoma"/>
                <w:b/>
                <w:bCs/>
                <w:color w:val="000000"/>
                <w:sz w:val="14"/>
                <w:szCs w:val="14"/>
                <w:lang w:eastAsia="ru-RU"/>
              </w:rPr>
            </w:pPr>
          </w:p>
        </w:tc>
        <w:tc>
          <w:tcPr>
            <w:tcW w:w="1044" w:type="dxa"/>
            <w:vMerge/>
            <w:tcBorders>
              <w:top w:val="single" w:sz="6" w:space="0" w:color="000000"/>
              <w:left w:val="single" w:sz="6" w:space="0" w:color="000000"/>
              <w:bottom w:val="single" w:sz="6" w:space="0" w:color="000000"/>
              <w:right w:val="single" w:sz="6" w:space="0" w:color="000000"/>
            </w:tcBorders>
            <w:vAlign w:val="center"/>
            <w:hideMark/>
          </w:tcPr>
          <w:p w:rsidR="00692432" w:rsidRPr="00692432" w:rsidRDefault="00692432" w:rsidP="00692432">
            <w:pPr>
              <w:spacing w:after="0" w:line="240" w:lineRule="auto"/>
              <w:rPr>
                <w:rFonts w:ascii="Tahoma" w:eastAsia="Times New Roman" w:hAnsi="Tahoma" w:cs="Tahoma"/>
                <w:b/>
                <w:bCs/>
                <w:color w:val="000000"/>
                <w:sz w:val="14"/>
                <w:szCs w:val="14"/>
                <w:lang w:eastAsia="ru-RU"/>
              </w:rPr>
            </w:pPr>
          </w:p>
        </w:tc>
      </w:tr>
      <w:tr w:rsidR="00692432" w:rsidRPr="00692432" w:rsidTr="00692432">
        <w:trPr>
          <w:trHeight w:val="11"/>
        </w:trPr>
        <w:tc>
          <w:tcPr>
            <w:tcW w:w="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ahoma" w:eastAsia="Times New Roman" w:hAnsi="Tahoma" w:cs="Tahoma"/>
                <w:color w:val="000000"/>
                <w:sz w:val="14"/>
                <w:szCs w:val="14"/>
                <w:lang w:eastAsia="ru-RU"/>
              </w:rPr>
            </w:pPr>
            <w:r w:rsidRPr="00692432">
              <w:rPr>
                <w:rFonts w:ascii="Tahoma" w:eastAsia="Times New Roman" w:hAnsi="Tahoma" w:cs="Tahoma"/>
                <w:color w:val="000000"/>
                <w:sz w:val="14"/>
                <w:szCs w:val="14"/>
                <w:lang w:eastAsia="ru-RU"/>
              </w:rPr>
              <w:lastRenderedPageBreak/>
              <w:t>Строительство объекта: "Стадион в с. Каширское Каширского района Воронежской области"</w:t>
            </w:r>
            <w:r w:rsidRPr="00692432">
              <w:rPr>
                <w:rFonts w:ascii="Tahoma" w:eastAsia="Times New Roman" w:hAnsi="Tahoma" w:cs="Tahoma"/>
                <w:color w:val="000000"/>
                <w:sz w:val="14"/>
                <w:szCs w:val="14"/>
                <w:lang w:eastAsia="ru-RU"/>
              </w:rPr>
              <w:br/>
              <w:t>Идентификатор: 148674650</w:t>
            </w:r>
          </w:p>
        </w:tc>
        <w:tc>
          <w:tcPr>
            <w:tcW w:w="7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ahoma" w:eastAsia="Times New Roman" w:hAnsi="Tahoma" w:cs="Tahoma"/>
                <w:color w:val="000000"/>
                <w:sz w:val="14"/>
                <w:szCs w:val="14"/>
                <w:lang w:eastAsia="ru-RU"/>
              </w:rPr>
            </w:pPr>
            <w:r w:rsidRPr="00692432">
              <w:rPr>
                <w:rFonts w:ascii="Tahoma" w:eastAsia="Times New Roman" w:hAnsi="Tahoma" w:cs="Tahoma"/>
                <w:color w:val="000000"/>
                <w:sz w:val="14"/>
                <w:szCs w:val="14"/>
                <w:lang w:eastAsia="ru-RU"/>
              </w:rPr>
              <w:t>41.20.40.900</w:t>
            </w:r>
          </w:p>
        </w:tc>
        <w:tc>
          <w:tcPr>
            <w:tcW w:w="727"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ahoma" w:eastAsia="Times New Roman" w:hAnsi="Tahoma" w:cs="Tahoma"/>
                <w:color w:val="000000"/>
                <w:sz w:val="14"/>
                <w:szCs w:val="14"/>
                <w:lang w:eastAsia="ru-RU"/>
              </w:rPr>
            </w:pPr>
          </w:p>
        </w:tc>
        <w:tc>
          <w:tcPr>
            <w:tcW w:w="677"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c>
          <w:tcPr>
            <w:tcW w:w="67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20"/>
                <w:szCs w:val="20"/>
                <w:lang w:eastAsia="ru-RU"/>
              </w:rPr>
            </w:pPr>
          </w:p>
        </w:tc>
        <w:tc>
          <w:tcPr>
            <w:tcW w:w="1354" w:type="dxa"/>
            <w:tcBorders>
              <w:top w:val="single" w:sz="6" w:space="0" w:color="000000"/>
              <w:left w:val="single" w:sz="6" w:space="0" w:color="000000"/>
              <w:bottom w:val="single" w:sz="6" w:space="0" w:color="000000"/>
              <w:right w:val="single" w:sz="6" w:space="0" w:color="000000"/>
            </w:tcBorders>
            <w:vAlign w:val="center"/>
            <w:hideMark/>
          </w:tcPr>
          <w:tbl>
            <w:tblPr>
              <w:tblW w:w="2503" w:type="dxa"/>
              <w:tblLayout w:type="fixed"/>
              <w:tblCellMar>
                <w:left w:w="0" w:type="dxa"/>
                <w:right w:w="0" w:type="dxa"/>
              </w:tblCellMar>
              <w:tblLook w:val="04A0" w:firstRow="1" w:lastRow="0" w:firstColumn="1" w:lastColumn="0" w:noHBand="0" w:noVBand="1"/>
            </w:tblPr>
            <w:tblGrid>
              <w:gridCol w:w="1016"/>
              <w:gridCol w:w="1487"/>
            </w:tblGrid>
            <w:tr w:rsidR="00692432" w:rsidRPr="00692432" w:rsidTr="00692432">
              <w:trPr>
                <w:trHeight w:val="1571"/>
              </w:trPr>
              <w:tc>
                <w:tcPr>
                  <w:tcW w:w="1016" w:type="dxa"/>
                  <w:tcBorders>
                    <w:top w:val="nil"/>
                    <w:left w:val="nil"/>
                    <w:bottom w:val="nil"/>
                    <w:right w:val="single" w:sz="6" w:space="0" w:color="auto"/>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АДМИНИСТРАЦИЯ КАШИРСКОГО СЕЛЬСКОГО ПОСЕЛЕНИЯ КАШИРСКОГО МУНИЦИПАЛЬНОГО РАЙОНА ВОРОНЕЖСКОЙ ОБЛАСТИ</w:t>
                  </w:r>
                </w:p>
              </w:tc>
              <w:tc>
                <w:tcPr>
                  <w:tcW w:w="1487" w:type="dxa"/>
                  <w:tcBorders>
                    <w:top w:val="nil"/>
                    <w:left w:val="nil"/>
                    <w:bottom w:val="nil"/>
                    <w:right w:val="nil"/>
                  </w:tcBorders>
                  <w:tcMar>
                    <w:top w:w="75" w:type="dxa"/>
                    <w:left w:w="75" w:type="dxa"/>
                    <w:bottom w:w="75" w:type="dxa"/>
                    <w:right w:w="75" w:type="dxa"/>
                  </w:tcMar>
                  <w:vAlign w:val="center"/>
                  <w:hideMark/>
                </w:tcPr>
                <w:p w:rsidR="00692432" w:rsidRPr="00692432" w:rsidRDefault="00692432" w:rsidP="00692432">
                  <w:pPr>
                    <w:spacing w:after="0" w:line="240" w:lineRule="auto"/>
                    <w:rPr>
                      <w:rFonts w:ascii="Times New Roman" w:eastAsia="Times New Roman" w:hAnsi="Times New Roman" w:cs="Times New Roman"/>
                      <w:sz w:val="16"/>
                      <w:szCs w:val="16"/>
                      <w:lang w:eastAsia="ru-RU"/>
                    </w:rPr>
                  </w:pPr>
                  <w:r w:rsidRPr="00692432">
                    <w:rPr>
                      <w:rFonts w:ascii="Times New Roman" w:eastAsia="Times New Roman" w:hAnsi="Times New Roman" w:cs="Times New Roman"/>
                      <w:sz w:val="16"/>
                      <w:szCs w:val="16"/>
                      <w:lang w:eastAsia="ru-RU"/>
                    </w:rPr>
                    <w:t>1</w:t>
                  </w:r>
                </w:p>
              </w:tc>
            </w:tr>
          </w:tbl>
          <w:p w:rsidR="00692432" w:rsidRPr="00692432" w:rsidRDefault="00692432" w:rsidP="00692432">
            <w:pPr>
              <w:spacing w:after="0" w:line="240" w:lineRule="auto"/>
              <w:rPr>
                <w:rFonts w:ascii="Tahoma" w:eastAsia="Times New Roman" w:hAnsi="Tahoma" w:cs="Tahoma"/>
                <w:color w:val="000000"/>
                <w:sz w:val="16"/>
                <w:szCs w:val="16"/>
                <w:lang w:eastAsia="ru-RU"/>
              </w:rPr>
            </w:pPr>
          </w:p>
        </w:tc>
        <w:tc>
          <w:tcPr>
            <w:tcW w:w="2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color w:val="000000"/>
                <w:sz w:val="14"/>
                <w:szCs w:val="14"/>
                <w:lang w:eastAsia="ru-RU"/>
              </w:rPr>
            </w:pPr>
            <w:r w:rsidRPr="00692432">
              <w:rPr>
                <w:rFonts w:ascii="Tahoma" w:eastAsia="Times New Roman" w:hAnsi="Tahoma" w:cs="Tahoma"/>
                <w:color w:val="000000"/>
                <w:sz w:val="14"/>
                <w:szCs w:val="14"/>
                <w:lang w:eastAsia="ru-RU"/>
              </w:rPr>
              <w:t>Условная единица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color w:val="000000"/>
                <w:sz w:val="14"/>
                <w:szCs w:val="14"/>
                <w:lang w:eastAsia="ru-RU"/>
              </w:rPr>
            </w:pPr>
            <w:r w:rsidRPr="00692432">
              <w:rPr>
                <w:rFonts w:ascii="Tahoma" w:eastAsia="Times New Roman" w:hAnsi="Tahoma" w:cs="Tahoma"/>
                <w:color w:val="000000"/>
                <w:sz w:val="14"/>
                <w:szCs w:val="14"/>
                <w:lang w:eastAsia="ru-RU"/>
              </w:rPr>
              <w:t>198932004.00</w:t>
            </w:r>
          </w:p>
        </w:tc>
        <w:tc>
          <w:tcPr>
            <w:tcW w:w="1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92432" w:rsidRPr="00692432" w:rsidRDefault="00692432" w:rsidP="00692432">
            <w:pPr>
              <w:spacing w:after="0" w:line="240" w:lineRule="auto"/>
              <w:jc w:val="center"/>
              <w:rPr>
                <w:rFonts w:ascii="Tahoma" w:eastAsia="Times New Roman" w:hAnsi="Tahoma" w:cs="Tahoma"/>
                <w:color w:val="000000"/>
                <w:sz w:val="14"/>
                <w:szCs w:val="14"/>
                <w:lang w:eastAsia="ru-RU"/>
              </w:rPr>
            </w:pPr>
            <w:r w:rsidRPr="00692432">
              <w:rPr>
                <w:rFonts w:ascii="Tahoma" w:eastAsia="Times New Roman" w:hAnsi="Tahoma" w:cs="Tahoma"/>
                <w:color w:val="000000"/>
                <w:sz w:val="14"/>
                <w:szCs w:val="14"/>
                <w:lang w:eastAsia="ru-RU"/>
              </w:rPr>
              <w:t>198932004.00</w:t>
            </w:r>
          </w:p>
        </w:tc>
      </w:tr>
    </w:tbl>
    <w:p w:rsidR="00692432" w:rsidRPr="00692432" w:rsidRDefault="00692432" w:rsidP="00692432">
      <w:pPr>
        <w:spacing w:before="225" w:after="225" w:line="240" w:lineRule="auto"/>
        <w:jc w:val="right"/>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Итого: 198</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932</w:t>
      </w:r>
      <w:r>
        <w:rPr>
          <w:rFonts w:ascii="Tahoma" w:eastAsia="Times New Roman" w:hAnsi="Tahoma" w:cs="Tahoma"/>
          <w:color w:val="000000"/>
          <w:sz w:val="18"/>
          <w:szCs w:val="18"/>
          <w:lang w:eastAsia="ru-RU"/>
        </w:rPr>
        <w:t xml:space="preserve"> </w:t>
      </w:r>
      <w:r w:rsidRPr="00692432">
        <w:rPr>
          <w:rFonts w:ascii="Tahoma" w:eastAsia="Times New Roman" w:hAnsi="Tahoma" w:cs="Tahoma"/>
          <w:color w:val="000000"/>
          <w:sz w:val="18"/>
          <w:szCs w:val="18"/>
          <w:lang w:eastAsia="ru-RU"/>
        </w:rPr>
        <w:t>004.00 Российский рубль</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Преимущества</w:t>
      </w:r>
    </w:p>
    <w:p w:rsidR="00692432" w:rsidRPr="00692432" w:rsidRDefault="00692432" w:rsidP="00692432">
      <w:pPr>
        <w:spacing w:after="0" w:line="240" w:lineRule="auto"/>
        <w:rPr>
          <w:rFonts w:ascii="Times New Roman" w:eastAsia="Times New Roman" w:hAnsi="Times New Roman" w:cs="Times New Roman"/>
          <w:sz w:val="24"/>
          <w:szCs w:val="24"/>
          <w:lang w:eastAsia="ru-RU"/>
        </w:rPr>
      </w:pPr>
      <w:r w:rsidRPr="00692432">
        <w:rPr>
          <w:rFonts w:ascii="Tahoma" w:eastAsia="Times New Roman" w:hAnsi="Tahoma" w:cs="Tahoma"/>
          <w:color w:val="000000"/>
          <w:sz w:val="18"/>
          <w:szCs w:val="18"/>
          <w:shd w:val="clear" w:color="auto" w:fill="FFFFFF"/>
          <w:lang w:eastAsia="ru-RU"/>
        </w:rPr>
        <w:t>Не установлены</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Требования к участникам</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3 . 1 Требования в соответствии с позицией 7 раздела II приложения к ПП РФ от 29.12.2021 № 2571</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Наличие у участника закупки следующего опыта выполнения работ: 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2)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Цена выполненных работ по договору, предусмотренных пунктами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692432">
        <w:rPr>
          <w:rFonts w:ascii="Tahoma" w:eastAsia="Times New Roman" w:hAnsi="Tahoma" w:cs="Tahoma"/>
          <w:color w:val="000000"/>
          <w:sz w:val="18"/>
          <w:szCs w:val="18"/>
          <w:lang w:eastAsia="ru-RU"/>
        </w:rPr>
        <w:t>рублей.Информация</w:t>
      </w:r>
      <w:proofErr w:type="spellEnd"/>
      <w:r w:rsidRPr="00692432">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В случае наличия опыта, Предусмотренного пунктом 2 графы "Дополнительные требования к участникам закупки" </w:t>
      </w:r>
      <w:r w:rsidRPr="00692432">
        <w:rPr>
          <w:rFonts w:ascii="Tahoma" w:eastAsia="Times New Roman" w:hAnsi="Tahoma" w:cs="Tahoma"/>
          <w:color w:val="000000"/>
          <w:sz w:val="18"/>
          <w:szCs w:val="18"/>
          <w:lang w:eastAsia="ru-RU"/>
        </w:rPr>
        <w:lastRenderedPageBreak/>
        <w:t>настоящей позиции: 1) раздел 11 "Смета на строительство объектов капитального строительства" проектной документации; 2) разрешение на ввод объекта капитального строительства в эксплуатацию</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В соответствии с </w:t>
      </w:r>
      <w:proofErr w:type="spellStart"/>
      <w:r w:rsidRPr="00692432">
        <w:rPr>
          <w:rFonts w:ascii="Tahoma" w:eastAsia="Times New Roman" w:hAnsi="Tahoma" w:cs="Tahoma"/>
          <w:color w:val="000000"/>
          <w:sz w:val="18"/>
          <w:szCs w:val="18"/>
          <w:lang w:eastAsia="ru-RU"/>
        </w:rPr>
        <w:t>пп</w:t>
      </w:r>
      <w:proofErr w:type="spellEnd"/>
      <w:r w:rsidRPr="00692432">
        <w:rPr>
          <w:rFonts w:ascii="Tahoma" w:eastAsia="Times New Roman" w:hAnsi="Tahoma" w:cs="Tahoma"/>
          <w:color w:val="000000"/>
          <w:sz w:val="18"/>
          <w:szCs w:val="18"/>
          <w:lang w:eastAsia="ru-RU"/>
        </w:rPr>
        <w:t xml:space="preserve">. 1 части 1 ст.31 (Участник закупки должен быть членом СРО в области строительства, реконструкции, капитального ремонта, сноса объектов капитального строительства* с правом выполнять работы по договору, заключаемому с использованием конкурентных способов заключения договоров, в соответствии с частью 3 статьи 55.8 Градостроительного кодекса РФ. Наличие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Соответствие члена СРО уровню ответственности, предусмотренному частями 12, 13 статьи 55.16 Градостроительного кодекса Российской Федерации.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*за исключением случаев, установленных Градостроительным кодексом РФ.).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692432">
        <w:rPr>
          <w:rFonts w:ascii="Tahoma" w:eastAsia="Times New Roman" w:hAnsi="Tahoma" w:cs="Tahoma"/>
          <w:color w:val="000000"/>
          <w:sz w:val="18"/>
          <w:szCs w:val="18"/>
          <w:lang w:eastAsia="ru-RU"/>
        </w:rPr>
        <w:t>подпунктом</w:t>
      </w:r>
      <w:proofErr w:type="gramEnd"/>
      <w:r w:rsidRPr="00692432">
        <w:rPr>
          <w:rFonts w:ascii="Tahoma" w:eastAsia="Times New Roman" w:hAnsi="Tahoma" w:cs="Tahoma"/>
          <w:color w:val="000000"/>
          <w:sz w:val="18"/>
          <w:szCs w:val="18"/>
          <w:lang w:eastAsia="ru-RU"/>
        </w:rPr>
        <w:t xml:space="preserve">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5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ч. 5 ст. 30 Закона № 44 ФЗ</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Объем привлечения: 25.00%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Ограничения</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Не установлены</w:t>
      </w:r>
    </w:p>
    <w:p w:rsidR="00692432" w:rsidRPr="00692432" w:rsidRDefault="00692432" w:rsidP="00692432">
      <w:pPr>
        <w:spacing w:after="0" w:line="240" w:lineRule="auto"/>
        <w:rPr>
          <w:rFonts w:ascii="Times New Roman" w:eastAsia="Times New Roman" w:hAnsi="Times New Roman" w:cs="Times New Roman"/>
          <w:sz w:val="24"/>
          <w:szCs w:val="24"/>
          <w:lang w:eastAsia="ru-RU"/>
        </w:rPr>
      </w:pPr>
      <w:r w:rsidRPr="00692432">
        <w:rPr>
          <w:rFonts w:ascii="Tahoma" w:eastAsia="Times New Roman" w:hAnsi="Tahoma" w:cs="Tahoma"/>
          <w:color w:val="000000"/>
          <w:sz w:val="18"/>
          <w:szCs w:val="18"/>
          <w:shd w:val="clear" w:color="auto" w:fill="FFFFFF"/>
          <w:lang w:eastAsia="ru-RU"/>
        </w:rPr>
        <w:t>Право заключения контрактов с несколькими участниками закупки в случаях, указанных в ч. 10 ст. 34 Закона № 44-ФЗ Не установлено</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Критерии оценки заявок</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Цена контракта</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Значимость критерия оценки: 60.00%</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lastRenderedPageBreak/>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Значимость критерия оценки: 40.00%</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i/>
          <w:iCs/>
          <w:color w:val="000000"/>
          <w:sz w:val="18"/>
          <w:szCs w:val="18"/>
          <w:bdr w:val="none" w:sz="0" w:space="0" w:color="auto" w:frame="1"/>
          <w:lang w:eastAsia="ru-RU"/>
        </w:rPr>
        <w:t>Показатели критерия оценки:</w:t>
      </w:r>
    </w:p>
    <w:p w:rsidR="00692432" w:rsidRPr="00692432" w:rsidRDefault="00692432" w:rsidP="00692432">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692432">
        <w:rPr>
          <w:rFonts w:ascii="Tahoma" w:eastAsia="Times New Roman" w:hAnsi="Tahoma" w:cs="Tahoma"/>
          <w:b/>
          <w:bCs/>
          <w:i/>
          <w:iCs/>
          <w:color w:val="000000"/>
          <w:sz w:val="18"/>
          <w:szCs w:val="18"/>
          <w:bdr w:val="none" w:sz="0" w:space="0" w:color="auto" w:frame="1"/>
          <w:lang w:eastAsia="ru-RU"/>
        </w:rPr>
        <w:t>1 Наличие у участников закупки опыта поставки товара, выполнения работы, оказания услуги, связанного с предметом контракта</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Значимость показателя: 100.00%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 xml:space="preserve">Порядок оценки по </w:t>
      </w:r>
      <w:proofErr w:type="gramStart"/>
      <w:r w:rsidRPr="00692432">
        <w:rPr>
          <w:rFonts w:ascii="Tahoma" w:eastAsia="Times New Roman" w:hAnsi="Tahoma" w:cs="Tahoma"/>
          <w:color w:val="000000"/>
          <w:sz w:val="18"/>
          <w:szCs w:val="18"/>
          <w:lang w:eastAsia="ru-RU"/>
        </w:rPr>
        <w:t>показателю :</w:t>
      </w:r>
      <w:proofErr w:type="gramEnd"/>
    </w:p>
    <w:p w:rsidR="00692432" w:rsidRPr="00692432" w:rsidRDefault="00692432" w:rsidP="00692432">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692432">
        <w:rPr>
          <w:rFonts w:ascii="Tahoma" w:eastAsia="Times New Roman" w:hAnsi="Tahoma" w:cs="Tahoma"/>
          <w:b/>
          <w:bCs/>
          <w:i/>
          <w:iCs/>
          <w:color w:val="000000"/>
          <w:sz w:val="18"/>
          <w:szCs w:val="18"/>
          <w:bdr w:val="none" w:sz="0" w:space="0" w:color="auto" w:frame="1"/>
          <w:lang w:eastAsia="ru-RU"/>
        </w:rPr>
        <w:t>1 Детализирующий показатель: Общая цена исполненных участником закупки договоров</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Значимость детализирующего показателя: 50.00%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p w:rsidR="00692432" w:rsidRPr="00692432" w:rsidRDefault="00692432" w:rsidP="00692432">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692432">
        <w:rPr>
          <w:rFonts w:ascii="Tahoma" w:eastAsia="Times New Roman" w:hAnsi="Tahoma" w:cs="Tahoma"/>
          <w:b/>
          <w:bCs/>
          <w:i/>
          <w:iCs/>
          <w:color w:val="000000"/>
          <w:sz w:val="18"/>
          <w:szCs w:val="18"/>
          <w:bdr w:val="none" w:sz="0" w:space="0" w:color="auto" w:frame="1"/>
          <w:lang w:eastAsia="ru-RU"/>
        </w:rPr>
        <w:t>2 Детализирующий показатель: Общее количество исполненных участником закупки договоров</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Значимость детализирующего показателя: 25.00%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p w:rsidR="00692432" w:rsidRPr="00692432" w:rsidRDefault="00692432" w:rsidP="00692432">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692432">
        <w:rPr>
          <w:rFonts w:ascii="Tahoma" w:eastAsia="Times New Roman" w:hAnsi="Tahoma" w:cs="Tahoma"/>
          <w:b/>
          <w:bCs/>
          <w:i/>
          <w:iCs/>
          <w:color w:val="000000"/>
          <w:sz w:val="18"/>
          <w:szCs w:val="18"/>
          <w:bdr w:val="none" w:sz="0" w:space="0" w:color="auto" w:frame="1"/>
          <w:lang w:eastAsia="ru-RU"/>
        </w:rPr>
        <w:t>3 Детализирующий показатель: Наибольшая цена одного из исполненных участником закупки договоров</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Значимость детализирующего показателя: 25.00%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Перечень прикрепленных документов</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 Приложение №5 Обоснование НМЦК</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Проект контракта</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 Приложение №3 Проект МК</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lastRenderedPageBreak/>
        <w:t>Описание объекта закупки</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 Приложение №4 Описание ОЗ</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 Требования к содержанию, составу заявки, инструкция по заполнению</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 Порядок рассмотрения и оценки заявок на участие в конкурсе</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692432" w:rsidRPr="00692432" w:rsidRDefault="00692432" w:rsidP="00692432">
      <w:pPr>
        <w:spacing w:after="0" w:line="240" w:lineRule="auto"/>
        <w:rPr>
          <w:rFonts w:ascii="Times New Roman" w:eastAsia="Times New Roman" w:hAnsi="Times New Roman" w:cs="Times New Roman"/>
          <w:sz w:val="24"/>
          <w:szCs w:val="24"/>
          <w:lang w:eastAsia="ru-RU"/>
        </w:rPr>
      </w:pPr>
      <w:r w:rsidRPr="00692432">
        <w:rPr>
          <w:rFonts w:ascii="Tahoma" w:eastAsia="Times New Roman" w:hAnsi="Tahoma" w:cs="Tahoma"/>
          <w:color w:val="000000"/>
          <w:sz w:val="18"/>
          <w:szCs w:val="18"/>
          <w:shd w:val="clear" w:color="auto" w:fill="FFFFFF"/>
          <w:lang w:eastAsia="ru-RU"/>
        </w:rPr>
        <w:t>Документы не прикреплены</w:t>
      </w:r>
    </w:p>
    <w:p w:rsidR="00692432" w:rsidRPr="00692432" w:rsidRDefault="00692432" w:rsidP="00692432">
      <w:pPr>
        <w:spacing w:after="0" w:line="240" w:lineRule="auto"/>
        <w:rPr>
          <w:rFonts w:ascii="Tahoma" w:eastAsia="Times New Roman" w:hAnsi="Tahoma" w:cs="Tahoma"/>
          <w:color w:val="000000"/>
          <w:sz w:val="18"/>
          <w:szCs w:val="18"/>
          <w:lang w:eastAsia="ru-RU"/>
        </w:rPr>
      </w:pPr>
      <w:r w:rsidRPr="00692432">
        <w:rPr>
          <w:rFonts w:ascii="Tahoma" w:eastAsia="Times New Roman" w:hAnsi="Tahoma" w:cs="Tahoma"/>
          <w:b/>
          <w:bCs/>
          <w:color w:val="000000"/>
          <w:sz w:val="18"/>
          <w:szCs w:val="18"/>
          <w:bdr w:val="none" w:sz="0" w:space="0" w:color="auto" w:frame="1"/>
          <w:lang w:eastAsia="ru-RU"/>
        </w:rPr>
        <w:t>Файлы проектной документации</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 Том 11.7. СМ.</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 Том 11.2.СМ.ССР</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3 Раздел ПД №9 Том 9</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4 Раздел ПД №10 Том 10</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5 Том 11.5.СМ.ВОР</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6 Раздел ПД №5 Подраздел ПД №3 Том 5.3</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7 Раздел ПД №5 Подраздел ПД №5 Том 5.5</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8 Раздел ПД №5 Подраздел ПД №7 Том 5.7</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9 Раздел ПД №5 Подраздел ПД №4 Том 5.4</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10 Том 11.6.СМ.ПЛ</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11 Раздел ПД №2 Том 2.2</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12 Том 11.3.СМ.ОСР</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13 Раздел ПД №5 Подраздел ПД №1 Том 5.1</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14 Раздел ПД №8 Том 8</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15 Раздел ПД №11(1) Том 11(1)</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16 Том 11.1.СМ.ПЗ</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17 Том 11.4.СМ.ЛСР</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lastRenderedPageBreak/>
        <w:t>18 Раздел ПД №3 Том 3</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19 Раздел ПД №4 Том 4</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20 Раздел ПД №1 Том 1.1</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21 Раздел ПД №2 Том 2.1</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22 Раздел ПД №6 Том 6</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23 Раздел ПД №10(1) Том 10(1)</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24 Раздел ПД №5 Подраздел ПД №2 Том 5.2</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25 Раздел ПД №12 Том 12.1</w:t>
      </w:r>
    </w:p>
    <w:p w:rsidR="00692432" w:rsidRPr="00692432" w:rsidRDefault="00692432" w:rsidP="00692432">
      <w:pPr>
        <w:spacing w:before="225" w:after="225" w:line="240" w:lineRule="auto"/>
        <w:rPr>
          <w:rFonts w:ascii="Tahoma" w:eastAsia="Times New Roman" w:hAnsi="Tahoma" w:cs="Tahoma"/>
          <w:color w:val="000000"/>
          <w:sz w:val="18"/>
          <w:szCs w:val="18"/>
          <w:lang w:eastAsia="ru-RU"/>
        </w:rPr>
      </w:pPr>
      <w:r w:rsidRPr="00692432">
        <w:rPr>
          <w:rFonts w:ascii="Tahoma" w:eastAsia="Times New Roman" w:hAnsi="Tahoma" w:cs="Tahoma"/>
          <w:color w:val="000000"/>
          <w:sz w:val="18"/>
          <w:szCs w:val="18"/>
          <w:lang w:eastAsia="ru-RU"/>
        </w:rPr>
        <w:t>26 Раздел ПД №1 Том 1.2</w:t>
      </w:r>
    </w:p>
    <w:p w:rsidR="00A03FF0" w:rsidRDefault="00A03FF0"/>
    <w:sectPr w:rsidR="00A03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62"/>
    <w:rsid w:val="00076DD8"/>
    <w:rsid w:val="00692432"/>
    <w:rsid w:val="00A03FF0"/>
    <w:rsid w:val="00BE48B9"/>
    <w:rsid w:val="00DB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74A13-7496-4ED0-BCD8-093B88FE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8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berbank-ast.ru/OK/purchaseView.aspx?id=9841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2924</Words>
  <Characters>16671</Characters>
  <Application>Microsoft Office Word</Application>
  <DocSecurity>4</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АЗАРОВА Татьяна Ивановна</cp:lastModifiedBy>
  <cp:revision>2</cp:revision>
  <dcterms:created xsi:type="dcterms:W3CDTF">2024-04-18T11:22:00Z</dcterms:created>
  <dcterms:modified xsi:type="dcterms:W3CDTF">2024-04-18T11:22:00Z</dcterms:modified>
</cp:coreProperties>
</file>