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5C" w:rsidRPr="00841F5C" w:rsidRDefault="00841F5C" w:rsidP="00841F5C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841F5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841F5C" w:rsidRPr="00841F5C" w:rsidRDefault="00841F5C" w:rsidP="00841F5C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anchor=":~:text=https%3A//zakupki.gov.ru/epz/order/notice/ea20/view/common%2Dinfo.html%3FregNumber%3D0131300046224000030" w:history="1">
        <w:r w:rsidRPr="00FE7936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0131300046224000030</w:t>
        </w:r>
      </w:hyperlink>
      <w:bookmarkStart w:id="0" w:name="_GoBack"/>
      <w:bookmarkEnd w:id="0"/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967"/>
      </w:tblGrid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967" w:type="dxa"/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0131300046224000030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универсального фронтального мини-погрузчика с бортовым поворотом ANT 1000.01-09 (или эквивалент)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967" w:type="dxa"/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967" w:type="dxa"/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и время окончания срока подачи заявок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28.05.2024 08:00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28.05.2024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30.05.2024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967" w:type="dxa"/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333.33 Российский рубль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243361300181036130100100130012892244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967" w:type="dxa"/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КАШИРСКОГО МУНИЦИПАЛЬНОГО РАЙОНА ВОРОНЕЖСКОЙ ОБЛАСТИ</w:t>
            </w:r>
          </w:p>
        </w:tc>
        <w:tc>
          <w:tcPr>
            <w:tcW w:w="4967" w:type="dxa"/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333.33 Российский рубль</w:t>
            </w:r>
          </w:p>
        </w:tc>
      </w:tr>
      <w:tr w:rsidR="00841F5C" w:rsidRPr="00841F5C" w:rsidTr="00841F5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 рабочих дней с даты заключения контракта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 рабочих дней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967" w:type="dxa"/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F5C" w:rsidRPr="00841F5C" w:rsidTr="00841F5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2202"/>
              <w:gridCol w:w="2202"/>
              <w:gridCol w:w="2202"/>
              <w:gridCol w:w="3347"/>
            </w:tblGrid>
            <w:tr w:rsidR="00841F5C" w:rsidRPr="00841F5C" w:rsidTr="00841F5C">
              <w:tc>
                <w:tcPr>
                  <w:tcW w:w="1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3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841F5C" w:rsidRPr="00841F5C" w:rsidTr="00841F5C">
              <w:tc>
                <w:tcPr>
                  <w:tcW w:w="1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3703333.33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3703333.33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3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967" w:type="dxa"/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1F5C" w:rsidRPr="00841F5C" w:rsidTr="00841F5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967" w:type="dxa"/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1F5C" w:rsidRPr="00841F5C" w:rsidTr="00841F5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1739"/>
              <w:gridCol w:w="1739"/>
              <w:gridCol w:w="1739"/>
              <w:gridCol w:w="1739"/>
            </w:tblGrid>
            <w:tr w:rsidR="00841F5C" w:rsidRPr="00841F5C" w:rsidTr="00841F5C">
              <w:tc>
                <w:tcPr>
                  <w:tcW w:w="43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95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841F5C" w:rsidRPr="00841F5C" w:rsidTr="00841F5C">
              <w:tc>
                <w:tcPr>
                  <w:tcW w:w="43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2024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2025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2026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2027 год</w:t>
                  </w:r>
                </w:p>
              </w:tc>
            </w:tr>
            <w:tr w:rsidR="00841F5C" w:rsidRPr="00841F5C" w:rsidTr="00841F5C">
              <w:tc>
                <w:tcPr>
                  <w:tcW w:w="4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914050204201S8620244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3703333.33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841F5C" w:rsidRPr="00841F5C" w:rsidTr="00841F5C">
              <w:tc>
                <w:tcPr>
                  <w:tcW w:w="4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3703333.33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Воронежская область, Каширский район, с. Каширское, ул. Олимпийская, 3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967" w:type="dxa"/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37033.33 Российский рубль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967" w:type="dxa"/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"Код поступления" Информация отсутствует</w:t>
            </w:r>
          </w:p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967" w:type="dxa"/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3613001810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967" w:type="dxa"/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</w:t>
            </w: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841F5C" w:rsidRPr="00841F5C" w:rsidTr="00841F5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Поставщик должен вместе с товаром предоставить свою гарантию на поставляемый товар, срок действия такой гарантии и должен быть не менее, чем 1 (один) год.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967" w:type="dxa"/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37033.33 Российский рубль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Федерального закона № 44-ФЗ. Обеспечение гарантийных обязательств необходимо предоставить до оформления итогового документа о приемке товара.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счета"03232643206200003100</w:t>
            </w:r>
          </w:p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счета"05313025610</w:t>
            </w:r>
          </w:p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841F5C" w:rsidRPr="00841F5C" w:rsidTr="00841F5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41F5C" w:rsidRPr="00841F5C" w:rsidTr="00841F5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41F5C" w:rsidRPr="00841F5C" w:rsidTr="00841F5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967" w:type="dxa"/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F5C" w:rsidRPr="00841F5C" w:rsidTr="00841F5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1F5C" w:rsidRPr="00841F5C" w:rsidRDefault="00841F5C" w:rsidP="00841F5C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841F5C" w:rsidRPr="00841F5C" w:rsidRDefault="00841F5C" w:rsidP="00841F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4"/>
        <w:gridCol w:w="4441"/>
      </w:tblGrid>
      <w:tr w:rsidR="00841F5C" w:rsidRPr="00841F5C" w:rsidTr="00841F5C">
        <w:trPr>
          <w:trHeight w:val="150"/>
        </w:trPr>
        <w:tc>
          <w:tcPr>
            <w:tcW w:w="6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Товар</w:t>
            </w:r>
          </w:p>
        </w:tc>
      </w:tr>
    </w:tbl>
    <w:p w:rsidR="00841F5C" w:rsidRPr="00841F5C" w:rsidRDefault="00841F5C" w:rsidP="00841F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58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93"/>
        <w:gridCol w:w="1417"/>
        <w:gridCol w:w="1276"/>
        <w:gridCol w:w="850"/>
        <w:gridCol w:w="1134"/>
        <w:gridCol w:w="1418"/>
        <w:gridCol w:w="425"/>
        <w:gridCol w:w="992"/>
        <w:gridCol w:w="993"/>
      </w:tblGrid>
      <w:tr w:rsidR="00841F5C" w:rsidRPr="00841F5C" w:rsidTr="00E935E2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1424"/>
            </w:tblGrid>
            <w:tr w:rsidR="00841F5C" w:rsidRPr="00841F5C" w:rsidTr="00841F5C">
              <w:trPr>
                <w:jc w:val="center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Заказчик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841F5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Количество(</w:t>
                  </w:r>
                  <w:proofErr w:type="gramEnd"/>
                  <w:r w:rsidRPr="00841F5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841F5C" w:rsidRPr="00841F5C" w:rsidTr="00E935E2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841F5C" w:rsidRPr="00841F5C" w:rsidTr="00E935E2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Погрузчик ковшовый</w:t>
            </w: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Идентификатор: 151329715</w:t>
            </w: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841F5C">
              <w:rPr>
                <w:rFonts w:ascii="Tahoma" w:eastAsia="Times New Roman" w:hAnsi="Tahoma" w:cs="Tahoma"/>
                <w:i/>
                <w:iCs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 xml:space="preserve">Обоснование включения дополнительной </w:t>
            </w:r>
            <w:r w:rsidRPr="00841F5C">
              <w:rPr>
                <w:rFonts w:ascii="Tahoma" w:eastAsia="Times New Roman" w:hAnsi="Tahoma" w:cs="Tahoma"/>
                <w:i/>
                <w:iCs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lastRenderedPageBreak/>
              <w:t xml:space="preserve">информации в сведения о товаре, работе, </w:t>
            </w:r>
            <w:proofErr w:type="gramStart"/>
            <w:r w:rsidRPr="00841F5C">
              <w:rPr>
                <w:rFonts w:ascii="Tahoma" w:eastAsia="Times New Roman" w:hAnsi="Tahoma" w:cs="Tahoma"/>
                <w:i/>
                <w:iCs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услуге:</w:t>
            </w: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отсутствие</w:t>
            </w:r>
            <w:proofErr w:type="gramEnd"/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сведений в КТРУ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28.92.20.000-00000020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7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1849"/>
            </w:tblGrid>
            <w:tr w:rsidR="00841F5C" w:rsidRPr="00841F5C" w:rsidTr="00841F5C"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АДМИНИСТРАЦИЯ КАШИРСКОГО МУНИЦИПАЛЬНОГО </w:t>
                  </w:r>
                  <w:r w:rsidRPr="00841F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РАЙОНА ВОРОНЕЖСКОЙ ОБЛАСТИ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1F5C" w:rsidRPr="00841F5C" w:rsidRDefault="00841F5C" w:rsidP="0084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41F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1</w:t>
                  </w:r>
                </w:p>
              </w:tc>
            </w:tr>
          </w:tbl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Штука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3703333.33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3703333.33</w:t>
            </w:r>
          </w:p>
        </w:tc>
      </w:tr>
      <w:tr w:rsidR="00841F5C" w:rsidRPr="00841F5C" w:rsidTr="00E935E2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Тип двигателя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Дизельный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841F5C" w:rsidRPr="00841F5C" w:rsidTr="00E935E2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ковша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0.5 и &lt; 0.9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Кубический метр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841F5C" w:rsidRPr="00841F5C" w:rsidTr="00E935E2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Высота подъема ковша погрузчика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≥ 2500 и </w:t>
            </w:r>
            <w:proofErr w:type="gramStart"/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&lt; 3000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841F5C" w:rsidRPr="00841F5C" w:rsidTr="00E935E2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Шарнирно-сочлененная рама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841F5C" w:rsidRPr="00841F5C" w:rsidTr="00E935E2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Номинальная мощность двигателя (ей)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≥ 80 и </w:t>
            </w:r>
            <w:proofErr w:type="gramStart"/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&lt; 100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Лошадиная сила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841F5C" w:rsidRPr="00841F5C" w:rsidTr="00E935E2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Номинальная грузоподъемность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&gt; 1 и ≤ 1.2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Тонна;^</w:t>
            </w:r>
            <w:proofErr w:type="gramEnd"/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метрическая тонна (1000 кг)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841F5C" w:rsidRPr="00841F5C" w:rsidTr="00E935E2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Тип погрузчика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Фронтальный одноковшовый погрузчик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841F5C" w:rsidRPr="00841F5C" w:rsidTr="00E935E2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ходовой части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Колесная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841F5C" w:rsidRPr="00841F5C" w:rsidTr="00E935E2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Технические допустимая максимальная масса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≤ 4760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841F5C" w:rsidRPr="00841F5C" w:rsidTr="00E935E2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Высота по кабине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2070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841F5C" w:rsidRPr="00841F5C" w:rsidTr="00E935E2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Ёмкость топливного бака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Литр; кубический дециметр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841F5C" w:rsidRPr="00841F5C" w:rsidTr="00E935E2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Грузоподъемность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1000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Килограмм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Участник закупки </w:t>
            </w: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841F5C" w:rsidRPr="00841F5C" w:rsidTr="00E935E2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Длина с ковшом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3680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841F5C" w:rsidRPr="00841F5C" w:rsidTr="00E935E2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Ширина по колесам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1995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841F5C" w:rsidRPr="00841F5C" w:rsidTr="00E935E2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Высота разгрузки по шарниру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3000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841F5C" w:rsidRPr="00841F5C" w:rsidRDefault="00841F5C" w:rsidP="00841F5C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3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703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333.33 Российский рубль</w:t>
      </w:r>
    </w:p>
    <w:p w:rsidR="00841F5C" w:rsidRPr="00841F5C" w:rsidRDefault="00841F5C" w:rsidP="00841F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841F5C" w:rsidRPr="00841F5C" w:rsidRDefault="00841F5C" w:rsidP="00841F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841F5C" w:rsidRPr="00841F5C" w:rsidRDefault="00841F5C" w:rsidP="00841F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841F5C" w:rsidRPr="00841F5C" w:rsidRDefault="00841F5C" w:rsidP="00841F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841F5C" w:rsidRPr="00841F5C" w:rsidRDefault="00841F5C" w:rsidP="00841F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841F5C" w:rsidRPr="00841F5C" w:rsidRDefault="00841F5C" w:rsidP="00841F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841F5C" w:rsidRPr="00841F5C" w:rsidRDefault="00841F5C" w:rsidP="00841F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841F5C" w:rsidRPr="00841F5C" w:rsidRDefault="00841F5C" w:rsidP="00841F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841F5C" w:rsidRPr="00841F5C" w:rsidRDefault="00841F5C" w:rsidP="00841F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841F5C" w:rsidRPr="00841F5C" w:rsidRDefault="00841F5C" w:rsidP="00841F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841F5C" w:rsidRPr="00841F5C" w:rsidRDefault="00841F5C" w:rsidP="00841F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3796"/>
        <w:gridCol w:w="1809"/>
        <w:gridCol w:w="1660"/>
        <w:gridCol w:w="1616"/>
      </w:tblGrid>
      <w:tr w:rsidR="00841F5C" w:rsidRPr="00841F5C" w:rsidTr="00E935E2">
        <w:trPr>
          <w:trHeight w:val="7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841F5C" w:rsidRPr="00841F5C" w:rsidTr="00E935E2">
        <w:trPr>
          <w:trHeight w:val="1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Запрет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</w:t>
            </w: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закупок для нужд обороны страны и безопасности государства"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1F5C" w:rsidRPr="00841F5C" w:rsidRDefault="00841F5C" w:rsidP="00841F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41F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Установлено в соответствии с Постановлением Правительства РФ № 616 от 30.04.2020</w:t>
            </w:r>
          </w:p>
        </w:tc>
      </w:tr>
    </w:tbl>
    <w:p w:rsidR="00841F5C" w:rsidRPr="00841F5C" w:rsidRDefault="00841F5C" w:rsidP="00841F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Перечень прикрепленных документов</w:t>
      </w:r>
    </w:p>
    <w:p w:rsidR="00841F5C" w:rsidRPr="00841F5C" w:rsidRDefault="00841F5C" w:rsidP="00841F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841F5C" w:rsidRPr="00841F5C" w:rsidRDefault="00841F5C" w:rsidP="00841F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841F5C" w:rsidRPr="00841F5C" w:rsidRDefault="00841F5C" w:rsidP="00841F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841F5C" w:rsidRPr="00841F5C" w:rsidRDefault="00841F5C" w:rsidP="00841F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841F5C" w:rsidRPr="00841F5C" w:rsidRDefault="00841F5C" w:rsidP="00841F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841F5C" w:rsidRPr="00841F5C" w:rsidRDefault="00841F5C" w:rsidP="00841F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841F5C" w:rsidRPr="00841F5C" w:rsidRDefault="00841F5C" w:rsidP="00841F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841F5C" w:rsidRPr="00841F5C" w:rsidRDefault="00841F5C" w:rsidP="00841F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841F5C" w:rsidRPr="00841F5C" w:rsidRDefault="00841F5C" w:rsidP="00841F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F5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4272AC" w:rsidRDefault="00841F5C" w:rsidP="00841F5C">
      <w:r w:rsidRPr="00841F5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42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13"/>
    <w:rsid w:val="004272AC"/>
    <w:rsid w:val="004D1713"/>
    <w:rsid w:val="00841F5C"/>
    <w:rsid w:val="00E935E2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F2F6E-12F9-4D10-BCB0-1597F1BA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5E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E7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purchaseView.aspx?id=9884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5</cp:revision>
  <cp:lastPrinted>2024-05-17T06:58:00Z</cp:lastPrinted>
  <dcterms:created xsi:type="dcterms:W3CDTF">2024-05-17T06:47:00Z</dcterms:created>
  <dcterms:modified xsi:type="dcterms:W3CDTF">2024-05-17T07:03:00Z</dcterms:modified>
</cp:coreProperties>
</file>