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F3F" w:rsidRPr="00EC6F3F" w:rsidRDefault="00EC6F3F" w:rsidP="00EC6F3F">
      <w:pPr>
        <w:spacing w:before="225" w:after="225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EC6F3F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EC6F3F" w:rsidRPr="00EC6F3F" w:rsidRDefault="00EC6F3F" w:rsidP="00EC6F3F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6F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</w:t>
      </w:r>
      <w:bookmarkStart w:id="0" w:name="_GoBack"/>
      <w:r w:rsidR="000137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begin"/>
      </w:r>
      <w:r w:rsidR="000137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instrText xml:space="preserve"> HYPERLINK "https://zakupki.gov.ru/epz/order/notice/ea20/view/common-info.html?regNumber=0131300046225000001" </w:instrText>
      </w:r>
      <w:r w:rsidR="00013710">
        <w:rPr>
          <w:rFonts w:ascii="Tahoma" w:eastAsia="Times New Roman" w:hAnsi="Tahoma" w:cs="Tahoma"/>
          <w:color w:val="000000"/>
          <w:sz w:val="18"/>
          <w:szCs w:val="18"/>
          <w:lang w:eastAsia="ru-RU"/>
        </w:rPr>
      </w:r>
      <w:r w:rsidR="000137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separate"/>
      </w:r>
      <w:r w:rsidRPr="00013710">
        <w:rPr>
          <w:rStyle w:val="a5"/>
          <w:rFonts w:ascii="Tahoma" w:eastAsia="Times New Roman" w:hAnsi="Tahoma" w:cs="Tahoma"/>
          <w:sz w:val="18"/>
          <w:szCs w:val="18"/>
          <w:lang w:eastAsia="ru-RU"/>
        </w:rPr>
        <w:t>0131300046225000001</w:t>
      </w:r>
      <w:r w:rsidR="000137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end"/>
      </w:r>
    </w:p>
    <w:bookmarkEnd w:id="0"/>
    <w:tbl>
      <w:tblPr>
        <w:tblW w:w="111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961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</w:tblGrid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 xml:space="preserve"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</w:t>
            </w:r>
            <w:proofErr w:type="gramStart"/>
            <w:r w:rsidRPr="00EC6F3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осуществления</w:t>
            </w:r>
            <w:proofErr w:type="gramEnd"/>
            <w:r w:rsidRPr="00EC6F3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 xml:space="preserve">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4961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0131300046225000001</w:t>
            </w: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Благоустройство территории, прилегающей к многоквартирному жилому дому, расположенному по адресу: Воронежская область, Каширский муниципальный район, с. Каширское, ул. Олимпийская, д 4</w:t>
            </w: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АО «Сбербанк-АСТ»</w:t>
            </w: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http://www.sberbank-ast.ru</w:t>
            </w: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Уполномоченный орган</w:t>
            </w: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АДМИНИСТРАЦИЯ КАШИРСКОГО МУНИЦИПАЛЬНОГО РАЙОНА ВОРОНЕЖСКОЙ ОБЛАСТИ</w:t>
            </w: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4961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КАШИРСКОГО МУНИЦИПАЛЬНОГО РАЙОНА ВОРОНЕЖСКОЙ ОБЛАСТИ</w:t>
            </w: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396350, Воронежская </w:t>
            </w:r>
            <w:proofErr w:type="spellStart"/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Каширский р-н, Каширское с, УЛИЦА ОЛИМПИЙСКАЯ, 3</w:t>
            </w: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396350, Воронежская </w:t>
            </w:r>
            <w:proofErr w:type="spellStart"/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Каширский р-н, Каширское с, УЛИЦА ОЛИМПИЙСКАЯ, 3</w:t>
            </w: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Терехова Елена Николаевна</w:t>
            </w: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eterehova@govvrn.ru</w:t>
            </w: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8-47342-41140</w:t>
            </w: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4961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03.02.2025 08:00</w:t>
            </w: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03.02.2025</w:t>
            </w: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05.02.2025</w:t>
            </w: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контрактов</w:t>
            </w:r>
          </w:p>
        </w:tc>
        <w:tc>
          <w:tcPr>
            <w:tcW w:w="4961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913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622.48 РОССИЙСКИЙ РУБЛЬ</w:t>
            </w: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253361300076736130100100020014299244</w:t>
            </w: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заказчиков</w:t>
            </w:r>
          </w:p>
        </w:tc>
        <w:tc>
          <w:tcPr>
            <w:tcW w:w="4961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 АДМИНИСТРАЦИЯ КАШИРСКОГО СЕЛЬСКОГО ПОСЕЛЕНИЯ КАШИРСКОГО МУНИЦИПАЛЬНОГО РАЙОНА ВОРОНЕЖСКОЙ ОБЛАСТИ</w:t>
            </w:r>
          </w:p>
        </w:tc>
        <w:tc>
          <w:tcPr>
            <w:tcW w:w="4961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913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622.48 РОССИЙСКИЙ РУБЛЬ</w:t>
            </w: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31.12.2025</w:t>
            </w: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Бюджет Каширского сельского поселения Каширского муниципального района</w:t>
            </w: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20620414: Муниципальные образования Воронежской области / Муниципальные районы Воронежской области / Каширский муниципальный район / Сельские поселения Каширского муниципального района / Каширское</w:t>
            </w: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4961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37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29"/>
              <w:gridCol w:w="1417"/>
              <w:gridCol w:w="992"/>
              <w:gridCol w:w="993"/>
              <w:gridCol w:w="1244"/>
            </w:tblGrid>
            <w:tr w:rsidR="00EC6F3F" w:rsidRPr="00EC6F3F" w:rsidTr="00EC6F3F">
              <w:trPr>
                <w:trHeight w:val="164"/>
              </w:trPr>
              <w:tc>
                <w:tcPr>
                  <w:tcW w:w="47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F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F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F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F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2027 год</w:t>
                  </w:r>
                </w:p>
              </w:tc>
              <w:tc>
                <w:tcPr>
                  <w:tcW w:w="1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F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EC6F3F" w:rsidRPr="00EC6F3F" w:rsidTr="00EC6F3F">
              <w:trPr>
                <w:trHeight w:val="173"/>
              </w:trPr>
              <w:tc>
                <w:tcPr>
                  <w:tcW w:w="47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F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2913622.48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F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2913622.48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F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F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F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EC6F3F" w:rsidRPr="00EC6F3F" w:rsidRDefault="00EC6F3F" w:rsidP="00EC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4961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Контракт не разделен на этапы исполнения контракта</w:t>
            </w: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4961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61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44"/>
              <w:gridCol w:w="869"/>
              <w:gridCol w:w="1533"/>
              <w:gridCol w:w="992"/>
              <w:gridCol w:w="993"/>
              <w:gridCol w:w="1486"/>
            </w:tblGrid>
            <w:tr w:rsidR="00EC6F3F" w:rsidRPr="00EC6F3F" w:rsidTr="00EC6F3F">
              <w:trPr>
                <w:trHeight w:val="239"/>
              </w:trPr>
              <w:tc>
                <w:tcPr>
                  <w:tcW w:w="374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F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5873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F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EC6F3F" w:rsidRPr="00EC6F3F" w:rsidTr="00EC6F3F">
              <w:trPr>
                <w:trHeight w:val="260"/>
              </w:trPr>
              <w:tc>
                <w:tcPr>
                  <w:tcW w:w="374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F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F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2025 год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F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2026 год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F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2027 год</w:t>
                  </w:r>
                </w:p>
              </w:tc>
              <w:tc>
                <w:tcPr>
                  <w:tcW w:w="14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F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EC6F3F" w:rsidRPr="00EC6F3F" w:rsidTr="00EC6F3F">
              <w:trPr>
                <w:trHeight w:val="187"/>
              </w:trPr>
              <w:tc>
                <w:tcPr>
                  <w:tcW w:w="37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F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9140503061И4А5552244</w:t>
                  </w:r>
                </w:p>
              </w:tc>
              <w:tc>
                <w:tcPr>
                  <w:tcW w:w="8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F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2913622.48</w:t>
                  </w: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F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2913622.48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F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F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4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F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EC6F3F" w:rsidRPr="00EC6F3F" w:rsidTr="00EC6F3F">
              <w:trPr>
                <w:trHeight w:val="198"/>
              </w:trPr>
              <w:tc>
                <w:tcPr>
                  <w:tcW w:w="37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F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8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F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2913622.48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F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F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4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F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EC6F3F" w:rsidRPr="00EC6F3F" w:rsidRDefault="00EC6F3F" w:rsidP="00EC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</w:t>
            </w:r>
            <w:proofErr w:type="spellStart"/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Воронежская, Территория, прилегающая к многоквартирному жилому дому, расположенному по адресу: Воронежская область, Каширский муниципальный район, с. Каширское, ул. Олимпийская, д 4</w:t>
            </w: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заявки</w:t>
            </w:r>
          </w:p>
        </w:tc>
        <w:tc>
          <w:tcPr>
            <w:tcW w:w="4961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заявки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заявки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29136.22 РОССИЙСКИЙ РУБЛЬ</w:t>
            </w: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закупке, а также условия гарантии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Порядок обеспечения заявки на участие в закупке предусмотрен статьей 44 Федерального закона от 05.04.2013 № 44-ФЗ. Обеспечение заявки на участие в закупке предоставляется одним из следующих способов: путем блокирования денежных средств на банковском счете, открытом таким участником в банке, включенном в перечень, утвержденный Правительством Российской Федерации, для их перевода в случаях, предусмотренных статьей 44 Закона № 44-ФЗ, на счет, на котором в соответствии с законодательством Российской Федерации учитываются операции со средствами, поступающими заказчику, или в соответствующий бюджет бюджетной системы Российской Федерации или путем предоставления независимой гарантии, соответствующей требованиям статьи 45 Закона № 44-ФЗ.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гарантий, размещенного в единой информационной системе. Независимая гарантия должна соответствовать требованиям статьи 45 Закона № 44-ФЗ. Срок действия независимой гарантии должен составлять не менее месяца с даты окончания срока подачи заявок. Условия независимой гарантии указаны в приложении №4 к извещению об осуществлении закупки «Условия независимой гарантии». Участники закупки, являющиеся юридическими лицами, зарегистрированными на территории государства - члена Евразийского </w:t>
            </w: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экономического союза, за исключением Российской Федерации, или физическими лицами, являющимися гражданами государства - члена Евразийского экономического союза, за исключением Российской Федерации, вправе предоставить обеспечение заявок в виде денежных средств с учетом особенностей, предусмотренных Постановлением Правительства РФ от 10.04.2023 № 579.</w:t>
            </w: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Реквизиты счета для учета операций со средствами, поступающими заказчику</w:t>
            </w:r>
          </w:p>
        </w:tc>
        <w:tc>
          <w:tcPr>
            <w:tcW w:w="4961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Реквизиты счета для учета операций со средствами, поступающими заказчику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счёта"03231643206204143100</w:t>
            </w:r>
          </w:p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счёта"03914022010</w:t>
            </w:r>
          </w:p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РОССИИ//УФК по Воронежской области, г Воронеж</w:t>
            </w:r>
          </w:p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 Информация отсутствует</w:t>
            </w: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Реквизиты счета для перечисления денежных средств в случае, предусмотренном ч.13 ст. 44 Закона № 44-ФЗ (в соответствующий бюджет бюджетной системы Российской Федерации)</w:t>
            </w:r>
          </w:p>
        </w:tc>
        <w:tc>
          <w:tcPr>
            <w:tcW w:w="4961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 получателя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3613000767</w:t>
            </w: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 получателя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361301001</w:t>
            </w: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КБК доходов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ОКТМО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20620414101</w:t>
            </w: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единого казначейского счета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40102810945370000023</w:t>
            </w: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казначейского счета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03100643000000013100</w:t>
            </w: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БИК ТОФК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012007084</w:t>
            </w: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Получатель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УПРАВЛЕНИЕ ФЕДЕРАЛЬНОГО КАЗНАЧЕЙСТВА ПО ВОРОНЕЖСКОЙ ОБЛАСТИ</w:t>
            </w: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исполнения контракта</w:t>
            </w:r>
          </w:p>
        </w:tc>
        <w:tc>
          <w:tcPr>
            <w:tcW w:w="4961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10.00%</w:t>
            </w: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Порядок обеспечения исполнения контракта, требования к обеспечению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Порядок обеспечения исполнения контракта предусмотрен статьей 96 Закона № 44-ФЗ. Исполнение контракта может обеспечиваться предоставлением независимой гарантии, соответствующей требованиям ст.45 Закона № 44-ФЗ, или внесением денежных средств на указанный заказчиком счет, на котором в соответствии с законодательством РФ учитываются операции со средствами, поступающими заказчику. Способ обеспечения исполнения контракта, срок действия независимой гарантии определяются в соответствии с требованиями Закона № 44-ФЗ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</w:t>
            </w:r>
            <w:proofErr w:type="spellStart"/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в случае его изменения в соответствии со статьей 95 Закона № 44-ФЗ.Контракт заключается после предоставления участником закупки, с которым заключается контракт, обеспечения исполнения контракта в соответствии с Законом № 44-ФЗ.</w:t>
            </w: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Платежные реквизиты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счёта"03231643206204143100</w:t>
            </w:r>
          </w:p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счёта"03914022010</w:t>
            </w:r>
          </w:p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РОССИИ//УФК по Воронежской области, г Воронеж</w:t>
            </w:r>
          </w:p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 Информация отсутствует</w:t>
            </w: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к гарантии качества товара, работы, услуги</w:t>
            </w: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Гарантийный срок на выполненные работы составляет 5 лет с даты подписания Муниципальным заказчиком документа о приемке.</w:t>
            </w: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гарантийных обязательств</w:t>
            </w:r>
          </w:p>
        </w:tc>
        <w:tc>
          <w:tcPr>
            <w:tcW w:w="4961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гарантийных обязательств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гарантийных обязательств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29136.22 РОССИЙСКИЙ РУБЛЬ</w:t>
            </w: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Порядок предоставления обеспечения гарантийных обязательств, требования к обеспечению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гарантийных обязательств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гарантийных обязательств, срок действия независимой гарантии определяются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ст. 95 Федерального закона № 44-ФЗ. Обеспечение гарантийных обязательств необходимо предоставить до оформления итогового документа о приемке товара.</w:t>
            </w: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Платежные реквизиты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расчетного счета"03231643206204143100</w:t>
            </w:r>
          </w:p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счета"03914022010</w:t>
            </w:r>
          </w:p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РОССИИ//УФК по Воронежской области, г Воронеж</w:t>
            </w:r>
          </w:p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 Информация отсутствует</w:t>
            </w: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4961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55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78"/>
              <w:gridCol w:w="567"/>
              <w:gridCol w:w="709"/>
              <w:gridCol w:w="709"/>
              <w:gridCol w:w="992"/>
              <w:gridCol w:w="1967"/>
              <w:gridCol w:w="733"/>
            </w:tblGrid>
            <w:tr w:rsidR="00EC6F3F" w:rsidRPr="00EC6F3F" w:rsidTr="00EC6F3F">
              <w:trPr>
                <w:trHeight w:val="11"/>
              </w:trPr>
              <w:tc>
                <w:tcPr>
                  <w:tcW w:w="38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EC6F3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EC6F3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EC6F3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EC6F3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EC6F3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1654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8"/>
                    <w:gridCol w:w="1196"/>
                  </w:tblGrid>
                  <w:tr w:rsidR="00EC6F3F" w:rsidRPr="00EC6F3F" w:rsidTr="00EC6F3F">
                    <w:trPr>
                      <w:trHeight w:val="272"/>
                      <w:jc w:val="center"/>
                    </w:trPr>
                    <w:tc>
                      <w:tcPr>
                        <w:tcW w:w="458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EC6F3F" w:rsidRPr="00EC6F3F" w:rsidRDefault="00EC6F3F" w:rsidP="00EC6F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EC6F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EC6F3F" w:rsidRPr="00EC6F3F" w:rsidRDefault="00EC6F3F" w:rsidP="00EC6F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EC6F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EC6F3F" w:rsidRPr="00EC6F3F" w:rsidRDefault="00EC6F3F" w:rsidP="00EC6F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EC6F3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EC6F3F" w:rsidRPr="00EC6F3F" w:rsidTr="00EC6F3F">
              <w:trPr>
                <w:trHeight w:val="11"/>
              </w:trPr>
              <w:tc>
                <w:tcPr>
                  <w:tcW w:w="38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C6F3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Благоустройство территории, прилегающей к многоквартирному жилому дому, расположенному по адресу: Воронежская область, Каширский муниципальный район, с. Каширское, ул. Олимпийская, д 4</w:t>
                  </w:r>
                  <w:r w:rsidRPr="00EC6F3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172242450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C6F3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42.99.29.100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C6F3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Работа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C6F3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C6F3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2913622.48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165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398"/>
                  </w:tblGrid>
                  <w:tr w:rsidR="00EC6F3F" w:rsidRPr="00EC6F3F" w:rsidTr="00EC6F3F">
                    <w:trPr>
                      <w:trHeight w:val="1765"/>
                    </w:trPr>
                    <w:tc>
                      <w:tcPr>
                        <w:tcW w:w="1255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EC6F3F" w:rsidRPr="00EC6F3F" w:rsidRDefault="00EC6F3F" w:rsidP="00EC6F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EC6F3F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КАШИРСКОГО СЕЛЬСКОГО ПОСЕЛЕНИЯ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EC6F3F" w:rsidRPr="00EC6F3F" w:rsidRDefault="00EC6F3F" w:rsidP="00EC6F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EC6F3F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C6F3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2913622.48</w:t>
                  </w:r>
                </w:p>
              </w:tc>
            </w:tr>
          </w:tbl>
          <w:p w:rsidR="00EC6F3F" w:rsidRPr="00EC6F3F" w:rsidRDefault="00EC6F3F" w:rsidP="00EC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C6F3F" w:rsidRPr="00EC6F3F" w:rsidTr="00EC6F3F">
        <w:trPr>
          <w:gridAfter w:val="60"/>
          <w:wAfter w:w="1200" w:type="dxa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58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4"/>
              <w:gridCol w:w="3125"/>
              <w:gridCol w:w="1512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8"/>
            </w:tblGrid>
            <w:tr w:rsidR="00EC6F3F" w:rsidRPr="00EC6F3F" w:rsidTr="00EC6F3F">
              <w:trPr>
                <w:trHeight w:val="677"/>
              </w:trPr>
              <w:tc>
                <w:tcPr>
                  <w:tcW w:w="9587" w:type="dxa"/>
                  <w:gridSpan w:val="6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EC6F3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EC6F3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Благоустройство</w:t>
                  </w:r>
                  <w:proofErr w:type="gramEnd"/>
                  <w:r w:rsidRPr="00EC6F3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территории, прилегающей к многоквартирному жилому дому, расположенному по адресу: Воронежская область, Каширский муниципальный район, с. Каширское, ул. Олимпийская, д 4 )</w:t>
                  </w:r>
                </w:p>
              </w:tc>
            </w:tr>
            <w:tr w:rsidR="00EC6F3F" w:rsidRPr="00EC6F3F" w:rsidTr="00EC6F3F">
              <w:trPr>
                <w:gridAfter w:val="1"/>
                <w:wAfter w:w="8" w:type="dxa"/>
                <w:trHeight w:val="707"/>
              </w:trPr>
              <w:tc>
                <w:tcPr>
                  <w:tcW w:w="39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EC6F3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lastRenderedPageBreak/>
                    <w:t>Наименование характеристики</w:t>
                  </w:r>
                </w:p>
              </w:tc>
              <w:tc>
                <w:tcPr>
                  <w:tcW w:w="33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EC6F3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15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EC6F3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16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6F3F" w:rsidRPr="00EC6F3F" w:rsidTr="00EC6F3F">
              <w:trPr>
                <w:gridAfter w:val="1"/>
                <w:wAfter w:w="8" w:type="dxa"/>
                <w:trHeight w:val="1001"/>
              </w:trPr>
              <w:tc>
                <w:tcPr>
                  <w:tcW w:w="397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C6F3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Благоустройство территории, прилегающей к многоквартирному жилому дому, расположенному по адресу: Воронежская область, Каширский муниципальный район, с. Каширское, ул. Олимпийская, д 4»</w:t>
                  </w:r>
                </w:p>
              </w:tc>
              <w:tc>
                <w:tcPr>
                  <w:tcW w:w="33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C6F3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1.Подготовительные работы; 2.Земляные работы; 3.Дорожная одежда; 4.Малые архитектурные формы и </w:t>
                  </w:r>
                  <w:proofErr w:type="spellStart"/>
                  <w:r w:rsidRPr="00EC6F3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переносныеи</w:t>
                  </w:r>
                  <w:proofErr w:type="spellEnd"/>
                  <w:r w:rsidRPr="00EC6F3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 w:rsidRPr="00EC6F3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зделия</w:t>
                  </w:r>
                  <w:proofErr w:type="spellEnd"/>
                  <w:r w:rsidRPr="00EC6F3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; 5.Наружные сети электроосвещения.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C6F3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16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C6F3F" w:rsidRPr="00EC6F3F" w:rsidRDefault="00EC6F3F" w:rsidP="00EC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C6F3F" w:rsidRPr="00EC6F3F" w:rsidTr="00EC6F3F">
        <w:tc>
          <w:tcPr>
            <w:tcW w:w="11123" w:type="dxa"/>
            <w:gridSpan w:val="6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EC6F3F" w:rsidRPr="00EC6F3F" w:rsidTr="00EC6F3F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C6F3F" w:rsidRPr="00EC6F3F" w:rsidRDefault="00EC6F3F" w:rsidP="00EC6F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C6F3F" w:rsidRPr="00EC6F3F" w:rsidRDefault="00EC6F3F" w:rsidP="00EC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C6F3F" w:rsidRPr="00EC6F3F" w:rsidTr="00EC6F3F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Итого: 2913622.48 РОССИЙСКИЙ РУБЛЬ</w:t>
            </w: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6F3F" w:rsidRPr="00EC6F3F" w:rsidTr="00EC6F3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4961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6F3F" w:rsidRPr="00EC6F3F" w:rsidTr="00EC6F3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Преимущество в соответствии с ч. 3 ст. 30 Закона № 44-ФЗ</w:t>
            </w: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6F3F" w:rsidRPr="00EC6F3F" w:rsidTr="00EC6F3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Единые требования к участникам закупок в соответствии с ч. 1 ст. 31 Закона № 44-ФЗ</w:t>
            </w:r>
          </w:p>
          <w:p w:rsidR="00EC6F3F" w:rsidRPr="00EC6F3F" w:rsidRDefault="00EC6F3F" w:rsidP="00EC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 Требования к участникам закупок в соответствии с ч. 1.1 ст. 31 Закона № 44-ФЗ</w:t>
            </w:r>
          </w:p>
          <w:p w:rsidR="00EC6F3F" w:rsidRPr="00EC6F3F" w:rsidRDefault="00EC6F3F" w:rsidP="00EC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 Требование к участникам закупок в соответствии с п. 1 ч. 1 ст. 31 Закона № 44-ФЗ</w:t>
            </w:r>
          </w:p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Участник закупки не должен являться юридическим или физическим лицом, в отношении которого применяются специальные экономические меры, предусмотренные </w:t>
            </w:r>
            <w:proofErr w:type="gramStart"/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подпунктом</w:t>
            </w:r>
            <w:proofErr w:type="gramEnd"/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а) пункта 2 Указа Президента РФ от 03.05.2022 г.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являться организацией, находящейся под контролем таких лиц</w:t>
            </w: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6F3F" w:rsidRPr="00EC6F3F" w:rsidTr="00EC6F3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Перечень прикрепленных документов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Обоснование начальной (максимальной) цены контракта</w:t>
            </w:r>
          </w:p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Приложение 5 - Часть 4. Обоснование начальной (максимальной) цены</w:t>
            </w:r>
          </w:p>
          <w:p w:rsidR="00EC6F3F" w:rsidRPr="00EC6F3F" w:rsidRDefault="00EC6F3F" w:rsidP="00EC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Проект контракта</w:t>
            </w:r>
          </w:p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Приложение 3- Часть 2. Проект контракта</w:t>
            </w:r>
          </w:p>
          <w:p w:rsidR="00EC6F3F" w:rsidRPr="00EC6F3F" w:rsidRDefault="00EC6F3F" w:rsidP="00EC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Описание объекта закупки</w:t>
            </w:r>
          </w:p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Приложение 4 - Часть 3. Описание объекта закупки</w:t>
            </w:r>
          </w:p>
          <w:p w:rsidR="00EC6F3F" w:rsidRPr="00EC6F3F" w:rsidRDefault="00EC6F3F" w:rsidP="00EC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к содержанию, составу заявки на участие в закупке</w:t>
            </w:r>
          </w:p>
          <w:p w:rsidR="00EC6F3F" w:rsidRPr="00EC6F3F" w:rsidRDefault="00EC6F3F" w:rsidP="00EC6F3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Требования к содержанию и составу заявки на участие в аукционе</w:t>
            </w:r>
          </w:p>
          <w:p w:rsidR="00EC6F3F" w:rsidRPr="00EC6F3F" w:rsidRDefault="00EC6F3F" w:rsidP="00EC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 и документы</w:t>
            </w:r>
          </w:p>
          <w:p w:rsidR="00EC6F3F" w:rsidRPr="00EC6F3F" w:rsidRDefault="00EC6F3F" w:rsidP="00EC6F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C6F3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Документы не прикреплены</w:t>
            </w: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EC6F3F" w:rsidRPr="00EC6F3F" w:rsidRDefault="00EC6F3F" w:rsidP="00EC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74B4B" w:rsidRDefault="00F74B4B"/>
    <w:sectPr w:rsidR="00F74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E6"/>
    <w:rsid w:val="00013710"/>
    <w:rsid w:val="00E154E6"/>
    <w:rsid w:val="00EC6F3F"/>
    <w:rsid w:val="00F7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AD00E-EE7E-4093-A17F-D0B911E9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6F3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137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2031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Елена Николаевна</dc:creator>
  <cp:keywords/>
  <dc:description/>
  <cp:lastModifiedBy>Терехова Елена Николаевна</cp:lastModifiedBy>
  <cp:revision>2</cp:revision>
  <cp:lastPrinted>2025-01-24T09:19:00Z</cp:lastPrinted>
  <dcterms:created xsi:type="dcterms:W3CDTF">2025-01-24T09:16:00Z</dcterms:created>
  <dcterms:modified xsi:type="dcterms:W3CDTF">2025-01-24T09:29:00Z</dcterms:modified>
</cp:coreProperties>
</file>