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bookmarkStart w:id="0" w:name="_GoBack"/>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bookmarkEnd w:id="0"/>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w:t>
      </w:r>
      <w:r w:rsidRPr="006F589C">
        <w:rPr>
          <w:rFonts w:ascii="Times New Roman" w:hAnsi="Times New Roman"/>
          <w:sz w:val="28"/>
          <w:szCs w:val="28"/>
        </w:rPr>
        <w:lastRenderedPageBreak/>
        <w:t>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w:t>
      </w:r>
      <w:r w:rsidR="00980A5D" w:rsidRPr="006F589C">
        <w:rPr>
          <w:rFonts w:ascii="Times New Roman" w:hAnsi="Times New Roman"/>
          <w:sz w:val="28"/>
          <w:szCs w:val="28"/>
        </w:rPr>
        <w:lastRenderedPageBreak/>
        <w:t>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правонарушений </w:t>
      </w:r>
      <w:r w:rsidR="004053AA" w:rsidRPr="006F589C">
        <w:rPr>
          <w:rFonts w:ascii="Times New Roman" w:hAnsi="Times New Roman"/>
          <w:sz w:val="28"/>
          <w:szCs w:val="28"/>
        </w:rPr>
        <w:lastRenderedPageBreak/>
        <w:t>(орган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 xml:space="preserve">направить официальный запрос с приложением всех материалов, характеризующих ситуацию, с </w:t>
      </w:r>
      <w:r w:rsidR="007A5485" w:rsidRPr="006F589C">
        <w:rPr>
          <w:rFonts w:ascii="Times New Roman" w:hAnsi="Times New Roman"/>
          <w:sz w:val="28"/>
          <w:szCs w:val="28"/>
        </w:rPr>
        <w:lastRenderedPageBreak/>
        <w:t>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lastRenderedPageBreak/>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w:t>
      </w:r>
      <w:r w:rsidRPr="006F589C">
        <w:rPr>
          <w:rFonts w:ascii="Times New Roman" w:hAnsi="Times New Roman"/>
          <w:sz w:val="28"/>
          <w:szCs w:val="28"/>
        </w:rPr>
        <w:lastRenderedPageBreak/>
        <w:t>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lastRenderedPageBreak/>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w:t>
      </w:r>
      <w:r w:rsidRPr="006F589C">
        <w:rPr>
          <w:rFonts w:ascii="Times New Roman" w:hAnsi="Times New Roman"/>
          <w:sz w:val="28"/>
          <w:szCs w:val="28"/>
        </w:rPr>
        <w:lastRenderedPageBreak/>
        <w:t>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w:t>
      </w:r>
      <w:r w:rsidRPr="006F589C">
        <w:rPr>
          <w:rFonts w:ascii="Times New Roman" w:hAnsi="Times New Roman"/>
          <w:sz w:val="28"/>
          <w:szCs w:val="28"/>
        </w:rPr>
        <w:lastRenderedPageBreak/>
        <w:t xml:space="preserve">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 xml:space="preserve">Центрального </w:t>
      </w:r>
      <w:r w:rsidRPr="006F589C">
        <w:rPr>
          <w:rFonts w:ascii="Times New Roman" w:hAnsi="Times New Roman"/>
          <w:sz w:val="28"/>
          <w:szCs w:val="28"/>
        </w:rPr>
        <w:lastRenderedPageBreak/>
        <w:t>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w:t>
      </w:r>
      <w:r w:rsidR="0003389D" w:rsidRPr="006F589C">
        <w:rPr>
          <w:rFonts w:ascii="Times New Roman" w:hAnsi="Times New Roman"/>
          <w:sz w:val="28"/>
          <w:szCs w:val="28"/>
        </w:rPr>
        <w:lastRenderedPageBreak/>
        <w:t>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lastRenderedPageBreak/>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lastRenderedPageBreak/>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6F589C">
        <w:rPr>
          <w:rFonts w:ascii="Times New Roman" w:hAnsi="Times New Roman"/>
          <w:sz w:val="28"/>
          <w:szCs w:val="28"/>
        </w:rPr>
        <w:lastRenderedPageBreak/>
        <w:t>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lastRenderedPageBreak/>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w:t>
      </w:r>
      <w:r w:rsidR="007816AA" w:rsidRPr="006F589C">
        <w:rPr>
          <w:rFonts w:ascii="Times New Roman" w:hAnsi="Times New Roman"/>
          <w:sz w:val="28"/>
          <w:szCs w:val="28"/>
        </w:rPr>
        <w:lastRenderedPageBreak/>
        <w:t>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lastRenderedPageBreak/>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Гражданин может представить уточненные сведения в течение одного месяца со дня </w:t>
      </w:r>
      <w:r w:rsidRPr="006F589C">
        <w:rPr>
          <w:rFonts w:ascii="Times New Roman" w:hAnsi="Times New Roman"/>
          <w:sz w:val="28"/>
          <w:szCs w:val="28"/>
        </w:rPr>
        <w:lastRenderedPageBreak/>
        <w:t>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 xml:space="preserve">О </w:t>
      </w:r>
      <w:r w:rsidRPr="006F589C">
        <w:rPr>
          <w:rFonts w:ascii="Times New Roman" w:hAnsi="Times New Roman"/>
          <w:sz w:val="28"/>
          <w:szCs w:val="28"/>
        </w:rPr>
        <w:lastRenderedPageBreak/>
        <w:t>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w:t>
      </w:r>
      <w:r w:rsidR="006C242E" w:rsidRPr="006F589C">
        <w:rPr>
          <w:rFonts w:ascii="Times New Roman" w:hAnsi="Times New Roman"/>
          <w:sz w:val="28"/>
          <w:szCs w:val="28"/>
        </w:rPr>
        <w:lastRenderedPageBreak/>
        <w:t xml:space="preserve">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w:t>
            </w:r>
            <w:r w:rsidRPr="006F589C">
              <w:rPr>
                <w:rFonts w:ascii="Times New Roman" w:hAnsi="Times New Roman"/>
                <w:sz w:val="28"/>
                <w:szCs w:val="28"/>
              </w:rPr>
              <w:lastRenderedPageBreak/>
              <w:t>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 xml:space="preserve">Не рекомендуется осуществлять подмену листов </w:t>
      </w:r>
      <w:r w:rsidR="00B85E07" w:rsidRPr="006F589C">
        <w:rPr>
          <w:rFonts w:ascii="Times New Roman" w:hAnsi="Times New Roman"/>
          <w:sz w:val="28"/>
          <w:szCs w:val="28"/>
        </w:rPr>
        <w:lastRenderedPageBreak/>
        <w:t>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lastRenderedPageBreak/>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w:t>
      </w:r>
      <w:r w:rsidRPr="006F589C">
        <w:rPr>
          <w:rFonts w:ascii="Times New Roman" w:hAnsi="Times New Roman"/>
          <w:sz w:val="28"/>
          <w:szCs w:val="28"/>
        </w:rPr>
        <w:lastRenderedPageBreak/>
        <w:t xml:space="preserve">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w:t>
      </w:r>
      <w:r w:rsidR="00F31C9B" w:rsidRPr="006F589C">
        <w:rPr>
          <w:rFonts w:ascii="Times New Roman" w:hAnsi="Times New Roman" w:cs="Times New Roman"/>
          <w:sz w:val="28"/>
          <w:szCs w:val="28"/>
        </w:rPr>
        <w:lastRenderedPageBreak/>
        <w:t>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lastRenderedPageBreak/>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w:t>
      </w:r>
      <w:r w:rsidR="00AE2F8B" w:rsidRPr="006F589C">
        <w:rPr>
          <w:rFonts w:ascii="Times New Roman" w:hAnsi="Times New Roman"/>
          <w:sz w:val="28"/>
          <w:szCs w:val="28"/>
        </w:rPr>
        <w:lastRenderedPageBreak/>
        <w:t>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 xml:space="preserve">2-НДФЛ, </w:t>
      </w:r>
      <w:r w:rsidRPr="006F589C">
        <w:rPr>
          <w:rFonts w:ascii="Times New Roman" w:hAnsi="Times New Roman"/>
          <w:sz w:val="28"/>
          <w:szCs w:val="28"/>
        </w:rPr>
        <w:lastRenderedPageBreak/>
        <w:t>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w:t>
      </w:r>
      <w:r w:rsidRPr="006F589C">
        <w:rPr>
          <w:rFonts w:ascii="Times New Roman" w:hAnsi="Times New Roman"/>
          <w:sz w:val="28"/>
          <w:szCs w:val="28"/>
        </w:rPr>
        <w:lastRenderedPageBreak/>
        <w:t>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lastRenderedPageBreak/>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w:t>
      </w:r>
      <w:r w:rsidR="00096ED3" w:rsidRPr="006F589C">
        <w:rPr>
          <w:sz w:val="28"/>
          <w:szCs w:val="28"/>
        </w:rPr>
        <w:lastRenderedPageBreak/>
        <w:t>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w:t>
      </w:r>
      <w:r w:rsidRPr="006F589C">
        <w:rPr>
          <w:rStyle w:val="a8"/>
          <w:rFonts w:ascii="Times New Roman" w:hAnsi="Times New Roman" w:cs="Times New Roman"/>
          <w:color w:val="000000"/>
          <w:sz w:val="28"/>
          <w:szCs w:val="28"/>
        </w:rPr>
        <w:lastRenderedPageBreak/>
        <w:t>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w:t>
      </w:r>
      <w:r w:rsidR="00F47BA7" w:rsidRPr="006F589C">
        <w:rPr>
          <w:rFonts w:ascii="Times New Roman" w:hAnsi="Times New Roman"/>
          <w:color w:val="000000"/>
          <w:sz w:val="28"/>
          <w:szCs w:val="28"/>
        </w:rPr>
        <w:lastRenderedPageBreak/>
        <w:t>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lastRenderedPageBreak/>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xml:space="preserve">) рекомендуется указывать совокупный доход </w:t>
      </w:r>
      <w:r w:rsidRPr="006F589C">
        <w:rPr>
          <w:rFonts w:ascii="Times New Roman" w:hAnsi="Times New Roman" w:cs="Times New Roman"/>
          <w:sz w:val="28"/>
          <w:szCs w:val="28"/>
        </w:rPr>
        <w:lastRenderedPageBreak/>
        <w:t>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w:t>
      </w:r>
      <w:r w:rsidR="00F43A09" w:rsidRPr="006F589C">
        <w:rPr>
          <w:rFonts w:ascii="Times New Roman" w:hAnsi="Times New Roman"/>
          <w:sz w:val="28"/>
          <w:szCs w:val="28"/>
        </w:rPr>
        <w:lastRenderedPageBreak/>
        <w:t xml:space="preserve">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м является положительный результат (разница между упла</w:t>
      </w:r>
      <w:r w:rsidR="00C86652" w:rsidRPr="006F589C">
        <w:rPr>
          <w:rFonts w:ascii="Times New Roman" w:hAnsi="Times New Roman"/>
          <w:sz w:val="28"/>
          <w:szCs w:val="28"/>
        </w:rPr>
        <w:lastRenderedPageBreak/>
        <w:t xml:space="preserve">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w:t>
      </w:r>
      <w:r w:rsidRPr="006F589C">
        <w:rPr>
          <w:sz w:val="28"/>
          <w:szCs w:val="28"/>
        </w:rPr>
        <w:lastRenderedPageBreak/>
        <w:t xml:space="preserve">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w:t>
      </w:r>
      <w:r w:rsidRPr="006F589C">
        <w:rPr>
          <w:rFonts w:ascii="Times New Roman" w:hAnsi="Times New Roman"/>
          <w:sz w:val="28"/>
          <w:szCs w:val="28"/>
        </w:rPr>
        <w:lastRenderedPageBreak/>
        <w:t>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w:t>
      </w:r>
      <w:r w:rsidRPr="006F589C">
        <w:rPr>
          <w:rFonts w:ascii="Times New Roman" w:eastAsia="Times New Roman" w:hAnsi="Times New Roman"/>
          <w:sz w:val="28"/>
          <w:szCs w:val="28"/>
          <w:lang w:eastAsia="ru-RU"/>
        </w:rPr>
        <w:lastRenderedPageBreak/>
        <w:t>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w:t>
      </w:r>
      <w:r w:rsidRPr="006F589C">
        <w:rPr>
          <w:rFonts w:ascii="Times New Roman" w:hAnsi="Times New Roman"/>
          <w:sz w:val="28"/>
          <w:szCs w:val="28"/>
        </w:rPr>
        <w:lastRenderedPageBreak/>
        <w:t xml:space="preserve">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w:t>
      </w:r>
      <w:r w:rsidR="00BB5EB9" w:rsidRPr="006F589C">
        <w:rPr>
          <w:rFonts w:ascii="Times New Roman" w:hAnsi="Times New Roman"/>
          <w:sz w:val="28"/>
        </w:rPr>
        <w:lastRenderedPageBreak/>
        <w:t xml:space="preserve">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w:t>
      </w:r>
      <w:r w:rsidRPr="006F589C">
        <w:rPr>
          <w:rFonts w:ascii="Times New Roman" w:hAnsi="Times New Roman"/>
          <w:sz w:val="28"/>
          <w:szCs w:val="28"/>
        </w:rPr>
        <w:lastRenderedPageBreak/>
        <w:t>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 xml:space="preserve">следует указывать наименование </w:t>
      </w:r>
      <w:r w:rsidRPr="006F589C">
        <w:rPr>
          <w:rFonts w:ascii="Times New Roman" w:hAnsi="Times New Roman"/>
          <w:sz w:val="28"/>
          <w:szCs w:val="28"/>
        </w:rPr>
        <w:lastRenderedPageBreak/>
        <w:t>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w:t>
      </w:r>
      <w:r w:rsidRPr="006F589C">
        <w:lastRenderedPageBreak/>
        <w:t>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заключении в отчетном периоде нескольких договоров участия в долевом строительстве </w:t>
      </w:r>
      <w:r w:rsidRPr="006F589C">
        <w:rPr>
          <w:rFonts w:ascii="Times New Roman" w:hAnsi="Times New Roman"/>
          <w:sz w:val="28"/>
          <w:szCs w:val="28"/>
        </w:rPr>
        <w:lastRenderedPageBreak/>
        <w:t>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w:t>
      </w:r>
      <w:r w:rsidRPr="006F589C">
        <w:rPr>
          <w:rFonts w:ascii="Times New Roman" w:hAnsi="Times New Roman"/>
          <w:sz w:val="28"/>
          <w:szCs w:val="28"/>
        </w:rPr>
        <w:lastRenderedPageBreak/>
        <w:t xml:space="preserve">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w:t>
      </w:r>
      <w:r w:rsidRPr="006F589C">
        <w:rPr>
          <w:rFonts w:ascii="Times New Roman" w:hAnsi="Times New Roman"/>
          <w:sz w:val="28"/>
          <w:szCs w:val="28"/>
        </w:rPr>
        <w:lastRenderedPageBreak/>
        <w:t>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указываются все объекты недвижимости, принадле</w:t>
      </w:r>
      <w:r w:rsidRPr="006F589C">
        <w:rPr>
          <w:rFonts w:ascii="Times New Roman" w:hAnsi="Times New Roman"/>
          <w:sz w:val="28"/>
          <w:szCs w:val="28"/>
        </w:rPr>
        <w:lastRenderedPageBreak/>
        <w:t xml:space="preserve">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w:t>
      </w:r>
      <w:r w:rsidR="00096ED3" w:rsidRPr="006F589C">
        <w:rPr>
          <w:rFonts w:ascii="Times New Roman" w:hAnsi="Times New Roman"/>
          <w:sz w:val="28"/>
          <w:szCs w:val="28"/>
        </w:rPr>
        <w:lastRenderedPageBreak/>
        <w:t>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 xml:space="preserve">земельный участок, предназначенный для отдыха граждан и </w:t>
      </w:r>
      <w:r w:rsidR="00B07827" w:rsidRPr="006F589C">
        <w:rPr>
          <w:rFonts w:ascii="Times New Roman" w:hAnsi="Times New Roman"/>
          <w:sz w:val="28"/>
          <w:szCs w:val="28"/>
          <w:lang w:eastAsia="ru-RU"/>
        </w:rPr>
        <w:lastRenderedPageBreak/>
        <w:t>(или)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w:t>
      </w:r>
      <w:r w:rsidRPr="006F589C">
        <w:rPr>
          <w:rFonts w:ascii="Times New Roman" w:hAnsi="Times New Roman"/>
          <w:sz w:val="28"/>
          <w:szCs w:val="28"/>
        </w:rPr>
        <w:lastRenderedPageBreak/>
        <w:t>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lastRenderedPageBreak/>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w:t>
      </w:r>
      <w:r w:rsidR="0002421F" w:rsidRPr="006F589C">
        <w:rPr>
          <w:rFonts w:ascii="Times New Roman" w:hAnsi="Times New Roman"/>
          <w:sz w:val="28"/>
          <w:szCs w:val="28"/>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w:t>
      </w:r>
      <w:r w:rsidR="005555C6" w:rsidRPr="006F589C">
        <w:rPr>
          <w:rFonts w:ascii="Times New Roman" w:hAnsi="Times New Roman"/>
          <w:sz w:val="28"/>
          <w:szCs w:val="28"/>
        </w:rPr>
        <w:lastRenderedPageBreak/>
        <w:t xml:space="preserve">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 xml:space="preserve">указываются имеющиеся правоустанавливающие </w:t>
      </w:r>
      <w:r w:rsidRPr="006F589C">
        <w:rPr>
          <w:rFonts w:ascii="Times New Roman" w:hAnsi="Times New Roman"/>
          <w:sz w:val="28"/>
          <w:szCs w:val="28"/>
        </w:rPr>
        <w:lastRenderedPageBreak/>
        <w:t>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lastRenderedPageBreak/>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w:t>
      </w:r>
      <w:r w:rsidRPr="006F589C">
        <w:rPr>
          <w:rFonts w:ascii="Times New Roman" w:hAnsi="Times New Roman"/>
          <w:sz w:val="28"/>
          <w:szCs w:val="28"/>
        </w:rPr>
        <w:lastRenderedPageBreak/>
        <w:t xml:space="preserve">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w:t>
      </w:r>
      <w:r w:rsidRPr="006F589C">
        <w:rPr>
          <w:rFonts w:ascii="Times New Roman" w:hAnsi="Times New Roman"/>
          <w:sz w:val="28"/>
          <w:szCs w:val="28"/>
        </w:rPr>
        <w:lastRenderedPageBreak/>
        <w:t>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w:t>
      </w:r>
      <w:r w:rsidR="00D3399A" w:rsidRPr="006F589C">
        <w:rPr>
          <w:rFonts w:ascii="Times New Roman" w:hAnsi="Times New Roman"/>
          <w:sz w:val="28"/>
          <w:szCs w:val="28"/>
        </w:rPr>
        <w:lastRenderedPageBreak/>
        <w:t>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rsidRPr="006F589C">
        <w:rPr>
          <w:rFonts w:ascii="Times New Roman" w:hAnsi="Times New Roman"/>
          <w:sz w:val="28"/>
          <w:szCs w:val="28"/>
        </w:rPr>
        <w:lastRenderedPageBreak/>
        <w:t>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lastRenderedPageBreak/>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w:t>
      </w:r>
      <w:r w:rsidRPr="006F589C">
        <w:rPr>
          <w:rFonts w:ascii="Times New Roman" w:hAnsi="Times New Roman"/>
          <w:sz w:val="28"/>
          <w:szCs w:val="28"/>
        </w:rPr>
        <w:lastRenderedPageBreak/>
        <w:t xml:space="preserve">(работника)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 xml:space="preserve">Лица, претендующие на замещение отдельных должностей, в случае наличия оснований также заполняют данную графу и прикладывают </w:t>
      </w:r>
      <w:r w:rsidRPr="006F589C">
        <w:rPr>
          <w:rFonts w:ascii="Times New Roman" w:hAnsi="Times New Roman"/>
          <w:sz w:val="28"/>
          <w:szCs w:val="28"/>
        </w:rPr>
        <w:lastRenderedPageBreak/>
        <w:t>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w:t>
      </w:r>
      <w:r w:rsidR="00AA3CA3" w:rsidRPr="006F589C">
        <w:rPr>
          <w:rStyle w:val="a8"/>
          <w:rFonts w:ascii="Times New Roman" w:hAnsi="Times New Roman" w:cs="Times New Roman"/>
          <w:color w:val="000000"/>
          <w:sz w:val="28"/>
          <w:szCs w:val="28"/>
        </w:rPr>
        <w:lastRenderedPageBreak/>
        <w:t>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w:t>
      </w:r>
      <w:r w:rsidRPr="006F589C">
        <w:rPr>
          <w:rFonts w:ascii="Times New Roman" w:hAnsi="Times New Roman"/>
          <w:sz w:val="28"/>
          <w:szCs w:val="28"/>
        </w:rPr>
        <w:lastRenderedPageBreak/>
        <w:t>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w:t>
      </w:r>
      <w:r w:rsidRPr="006F589C">
        <w:rPr>
          <w:rFonts w:ascii="Times New Roman" w:hAnsi="Times New Roman"/>
          <w:sz w:val="28"/>
          <w:szCs w:val="28"/>
        </w:rPr>
        <w:lastRenderedPageBreak/>
        <w:t xml:space="preserve">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lastRenderedPageBreak/>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w:t>
      </w:r>
      <w:r w:rsidRPr="006F589C">
        <w:rPr>
          <w:rFonts w:ascii="Times New Roman" w:hAnsi="Times New Roman"/>
          <w:sz w:val="28"/>
          <w:szCs w:val="28"/>
        </w:rPr>
        <w:lastRenderedPageBreak/>
        <w:t>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w:t>
      </w:r>
      <w:r w:rsidRPr="006F589C">
        <w:rPr>
          <w:rFonts w:ascii="Times New Roman" w:hAnsi="Times New Roman"/>
          <w:sz w:val="28"/>
          <w:szCs w:val="28"/>
        </w:rPr>
        <w:lastRenderedPageBreak/>
        <w:t>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w:t>
      </w:r>
      <w:r w:rsidRPr="006F589C">
        <w:rPr>
          <w:rFonts w:ascii="Times New Roman" w:hAnsi="Times New Roman"/>
          <w:sz w:val="28"/>
          <w:szCs w:val="28"/>
        </w:rPr>
        <w:lastRenderedPageBreak/>
        <w:t xml:space="preserve">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lastRenderedPageBreak/>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lastRenderedPageBreak/>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числе указанию подлежат сведения о жилом помещении (дом, квартира, комната), </w:t>
      </w:r>
      <w:r w:rsidRPr="006F589C">
        <w:rPr>
          <w:rFonts w:ascii="Times New Roman" w:hAnsi="Times New Roman"/>
          <w:sz w:val="28"/>
          <w:szCs w:val="28"/>
        </w:rPr>
        <w:lastRenderedPageBreak/>
        <w:t>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lastRenderedPageBreak/>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6F589C">
        <w:rPr>
          <w:rFonts w:ascii="Times New Roman" w:hAnsi="Times New Roman"/>
          <w:sz w:val="28"/>
          <w:szCs w:val="28"/>
        </w:rPr>
        <w:lastRenderedPageBreak/>
        <w:t>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lastRenderedPageBreak/>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Times New Roman" w:hAnsi="Times New Roman"/>
          <w:sz w:val="28"/>
          <w:szCs w:val="28"/>
        </w:rPr>
        <w:lastRenderedPageBreak/>
        <w:t>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lastRenderedPageBreak/>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w:t>
      </w:r>
      <w:r w:rsidRPr="006F589C">
        <w:rPr>
          <w:rFonts w:ascii="Times New Roman" w:hAnsi="Times New Roman"/>
          <w:sz w:val="28"/>
          <w:szCs w:val="28"/>
        </w:rPr>
        <w:lastRenderedPageBreak/>
        <w:t>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w:t>
      </w:r>
      <w:r w:rsidRPr="006F589C">
        <w:rPr>
          <w:rFonts w:ascii="Times New Roman" w:hAnsi="Times New Roman"/>
          <w:sz w:val="28"/>
          <w:szCs w:val="28"/>
        </w:rPr>
        <w:lastRenderedPageBreak/>
        <w:t xml:space="preserve">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 xml:space="preserve">Об ипотеке </w:t>
      </w:r>
      <w:r w:rsidRPr="006F589C">
        <w:rPr>
          <w:rFonts w:ascii="Times New Roman" w:hAnsi="Times New Roman"/>
          <w:sz w:val="28"/>
          <w:szCs w:val="28"/>
        </w:rPr>
        <w:lastRenderedPageBreak/>
        <w:t>(залоге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lastRenderedPageBreak/>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lastRenderedPageBreak/>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 xml:space="preserve">обязательства по договорам о брокерском обслуживании и договорам доверительного управления ценными бумагами, в том </w:t>
      </w:r>
      <w:r w:rsidR="00C70F1B" w:rsidRPr="006F589C">
        <w:rPr>
          <w:rFonts w:ascii="Times New Roman" w:hAnsi="Times New Roman"/>
          <w:b/>
          <w:sz w:val="28"/>
          <w:szCs w:val="28"/>
        </w:rPr>
        <w:lastRenderedPageBreak/>
        <w:t>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xml:space="preserve">, договор (соглашение) об определении долей, а </w:t>
      </w:r>
      <w:r w:rsidR="00346F3F" w:rsidRPr="006F589C">
        <w:rPr>
          <w:rFonts w:ascii="Times New Roman" w:hAnsi="Times New Roman"/>
          <w:sz w:val="28"/>
          <w:szCs w:val="28"/>
        </w:rPr>
        <w:lastRenderedPageBreak/>
        <w:t>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w:t>
      </w:r>
      <w:r w:rsidRPr="006F589C">
        <w:rPr>
          <w:rFonts w:ascii="Times New Roman" w:hAnsi="Times New Roman"/>
          <w:sz w:val="28"/>
          <w:szCs w:val="28"/>
        </w:rPr>
        <w:lastRenderedPageBreak/>
        <w:t xml:space="preserve">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lastRenderedPageBreak/>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w:t>
      </w:r>
      <w:r w:rsidR="001542B6" w:rsidRPr="006F589C">
        <w:rPr>
          <w:rStyle w:val="a8"/>
          <w:rFonts w:ascii="Times New Roman" w:hAnsi="Times New Roman" w:cs="Times New Roman"/>
          <w:sz w:val="28"/>
          <w:szCs w:val="28"/>
          <w:shd w:val="clear" w:color="auto" w:fill="auto"/>
        </w:rPr>
        <w:lastRenderedPageBreak/>
        <w:t>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w:t>
      </w:r>
      <w:r w:rsidRPr="006F589C">
        <w:rPr>
          <w:rStyle w:val="a8"/>
          <w:rFonts w:ascii="Times New Roman" w:hAnsi="Times New Roman" w:cs="Times New Roman"/>
          <w:sz w:val="28"/>
          <w:szCs w:val="28"/>
          <w:shd w:val="clear" w:color="auto" w:fill="auto"/>
        </w:rPr>
        <w:lastRenderedPageBreak/>
        <w:t>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Изменения в справку вступают в силу с 1 июля 2021 г., в этой связи в период декларационной кампании лица, представляющие справку в </w:t>
      </w:r>
      <w:r w:rsidRPr="006F589C">
        <w:rPr>
          <w:rStyle w:val="a8"/>
          <w:rFonts w:ascii="Times New Roman" w:hAnsi="Times New Roman" w:cs="Times New Roman"/>
          <w:sz w:val="28"/>
          <w:szCs w:val="28"/>
          <w:shd w:val="clear" w:color="auto" w:fill="auto"/>
        </w:rPr>
        <w:lastRenderedPageBreak/>
        <w:t>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w:t>
      </w:r>
      <w:r w:rsidRPr="006F589C">
        <w:rPr>
          <w:rStyle w:val="a8"/>
          <w:rFonts w:ascii="Times New Roman" w:hAnsi="Times New Roman" w:cs="Times New Roman"/>
          <w:sz w:val="28"/>
          <w:szCs w:val="28"/>
          <w:shd w:val="clear" w:color="auto" w:fill="auto"/>
        </w:rPr>
        <w:lastRenderedPageBreak/>
        <w:t>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w:t>
      </w:r>
      <w:r w:rsidRPr="006F589C">
        <w:rPr>
          <w:rStyle w:val="a8"/>
          <w:rFonts w:ascii="Times New Roman" w:hAnsi="Times New Roman" w:cs="Times New Roman"/>
          <w:sz w:val="28"/>
          <w:szCs w:val="28"/>
          <w:shd w:val="clear" w:color="auto" w:fill="auto"/>
        </w:rP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w:t>
      </w:r>
      <w:r w:rsidRPr="006F589C">
        <w:rPr>
          <w:rStyle w:val="a8"/>
          <w:rFonts w:ascii="Times New Roman" w:hAnsi="Times New Roman" w:cs="Times New Roman"/>
          <w:sz w:val="28"/>
          <w:szCs w:val="28"/>
          <w:shd w:val="clear" w:color="auto" w:fill="auto"/>
        </w:rPr>
        <w:lastRenderedPageBreak/>
        <w:t>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lastRenderedPageBreak/>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lastRenderedPageBreak/>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3E" w:rsidRDefault="00F4123E" w:rsidP="00204BB5">
      <w:r>
        <w:separator/>
      </w:r>
    </w:p>
  </w:endnote>
  <w:endnote w:type="continuationSeparator" w:id="0">
    <w:p w:rsidR="00F4123E" w:rsidRDefault="00F4123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3E" w:rsidRDefault="00F4123E" w:rsidP="00204BB5">
      <w:r>
        <w:separator/>
      </w:r>
    </w:p>
  </w:footnote>
  <w:footnote w:type="continuationSeparator" w:id="0">
    <w:p w:rsidR="00F4123E" w:rsidRDefault="00F4123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F46A1">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46A1"/>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3F6467-972D-4E96-80E4-9169306E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F790767-B407-49BE-95A9-BEE3C942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4</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АЗАРОВА Татьяна Ивановна</cp:lastModifiedBy>
  <cp:revision>2</cp:revision>
  <cp:lastPrinted>2020-12-24T15:48:00Z</cp:lastPrinted>
  <dcterms:created xsi:type="dcterms:W3CDTF">2021-02-02T09:31:00Z</dcterms:created>
  <dcterms:modified xsi:type="dcterms:W3CDTF">2021-02-02T09:31:00Z</dcterms:modified>
</cp:coreProperties>
</file>